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9DDCC" w14:textId="7BE9FE9A" w:rsidR="00D74ABC" w:rsidRDefault="00D74ABC" w:rsidP="00D74ABC">
      <w:pPr>
        <w:pStyle w:val="CRCoverPage"/>
        <w:tabs>
          <w:tab w:val="right" w:pos="9639"/>
        </w:tabs>
        <w:spacing w:after="0"/>
        <w:rPr>
          <w:b/>
          <w:i/>
          <w:noProof/>
          <w:sz w:val="28"/>
        </w:rPr>
      </w:pPr>
      <w:bookmarkStart w:id="0" w:name="_Ref462675860"/>
      <w:bookmarkStart w:id="1" w:name="_Ref465963108"/>
      <w:r>
        <w:rPr>
          <w:b/>
          <w:noProof/>
          <w:sz w:val="24"/>
        </w:rPr>
        <w:t>3GPP TSG-</w:t>
      </w:r>
      <w:fldSimple w:instr=" DOCPROPERTY  TSG/WGRef  \* MERGEFORMAT ">
        <w:r>
          <w:rPr>
            <w:b/>
            <w:noProof/>
            <w:sz w:val="24"/>
          </w:rPr>
          <w:t>RAN4</w:t>
        </w:r>
      </w:fldSimple>
      <w:r>
        <w:rPr>
          <w:b/>
          <w:noProof/>
          <w:sz w:val="24"/>
        </w:rPr>
        <w:t xml:space="preserve"> Meeting #</w:t>
      </w:r>
      <w:r w:rsidRPr="00E03989">
        <w:rPr>
          <w:b/>
          <w:noProof/>
          <w:sz w:val="24"/>
        </w:rPr>
        <w:t>116</w:t>
      </w:r>
      <w:fldSimple w:instr=" DOCPROPERTY  MtgTitle  \* MERGEFORMAT "/>
      <w:r>
        <w:rPr>
          <w:b/>
          <w:i/>
          <w:noProof/>
          <w:sz w:val="28"/>
        </w:rPr>
        <w:tab/>
      </w:r>
      <w:r w:rsidR="00674B94" w:rsidRPr="00674B94">
        <w:rPr>
          <w:b/>
          <w:iCs/>
          <w:noProof/>
          <w:sz w:val="28"/>
        </w:rPr>
        <w:t>R4-2510417</w:t>
      </w:r>
    </w:p>
    <w:p w14:paraId="6B034FEA" w14:textId="596936B9" w:rsidR="00516D11" w:rsidRPr="0012718A" w:rsidRDefault="00D74ABC" w:rsidP="00D74ABC">
      <w:pPr>
        <w:pStyle w:val="Header"/>
        <w:tabs>
          <w:tab w:val="right" w:pos="9781"/>
          <w:tab w:val="right" w:pos="13323"/>
        </w:tabs>
        <w:spacing w:before="60" w:after="60"/>
        <w:outlineLvl w:val="0"/>
        <w:rPr>
          <w:rFonts w:cs="Arial"/>
          <w:b w:val="0"/>
          <w:sz w:val="24"/>
          <w:szCs w:val="24"/>
          <w:lang w:eastAsia="zh-CN"/>
        </w:rPr>
      </w:pPr>
      <w:r w:rsidRPr="00A95D32">
        <w:rPr>
          <w:sz w:val="24"/>
        </w:rPr>
        <w:t>Bengaluru</w:t>
      </w:r>
      <w:r>
        <w:rPr>
          <w:sz w:val="24"/>
        </w:rPr>
        <w:t xml:space="preserve">, India </w:t>
      </w:r>
      <w:r>
        <w:rPr>
          <w:b w:val="0"/>
          <w:sz w:val="24"/>
        </w:rPr>
        <w:fldChar w:fldCharType="begin"/>
      </w:r>
      <w:r w:rsidRPr="00A95D32">
        <w:rPr>
          <w:sz w:val="24"/>
        </w:rPr>
        <w:instrText xml:space="preserve"> DOCPROPERTY  StartDate  \* MERGEFORMAT </w:instrText>
      </w:r>
      <w:r>
        <w:rPr>
          <w:b w:val="0"/>
          <w:sz w:val="24"/>
        </w:rPr>
        <w:fldChar w:fldCharType="separate"/>
      </w:r>
      <w:r>
        <w:rPr>
          <w:sz w:val="24"/>
        </w:rPr>
        <w:t>25</w:t>
      </w:r>
      <w:r w:rsidRPr="00D74ABC">
        <w:rPr>
          <w:sz w:val="24"/>
          <w:vertAlign w:val="superscript"/>
        </w:rPr>
        <w:t>th</w:t>
      </w:r>
      <w:r>
        <w:rPr>
          <w:sz w:val="24"/>
        </w:rPr>
        <w:t xml:space="preserve"> </w:t>
      </w:r>
      <w:r>
        <w:rPr>
          <w:b w:val="0"/>
          <w:sz w:val="24"/>
        </w:rPr>
        <w:fldChar w:fldCharType="end"/>
      </w:r>
      <w:r>
        <w:rPr>
          <w:sz w:val="24"/>
        </w:rPr>
        <w:t>– 29</w:t>
      </w:r>
      <w:r w:rsidRPr="00D74ABC">
        <w:rPr>
          <w:sz w:val="24"/>
          <w:vertAlign w:val="superscript"/>
        </w:rPr>
        <w:t>th</w:t>
      </w:r>
      <w:r>
        <w:rPr>
          <w:sz w:val="24"/>
        </w:rPr>
        <w:t xml:space="preserve"> </w:t>
      </w:r>
      <w:r>
        <w:rPr>
          <w:b w:val="0"/>
          <w:sz w:val="24"/>
        </w:rPr>
        <w:fldChar w:fldCharType="begin"/>
      </w:r>
      <w:r w:rsidRPr="00A95D32">
        <w:rPr>
          <w:sz w:val="24"/>
        </w:rPr>
        <w:instrText xml:space="preserve"> DOCPROPERTY  EndDate  \* MERGEFORMAT </w:instrText>
      </w:r>
      <w:r>
        <w:rPr>
          <w:b w:val="0"/>
          <w:sz w:val="24"/>
        </w:rPr>
        <w:fldChar w:fldCharType="separate"/>
      </w:r>
      <w:r>
        <w:rPr>
          <w:sz w:val="24"/>
        </w:rPr>
        <w:t>August</w:t>
      </w:r>
      <w:r w:rsidRPr="00BA51D9">
        <w:rPr>
          <w:sz w:val="24"/>
        </w:rPr>
        <w:t xml:space="preserve"> 2025</w:t>
      </w:r>
      <w:r>
        <w:rPr>
          <w:b w:val="0"/>
          <w:sz w:val="24"/>
        </w:rPr>
        <w:fldChar w:fldCharType="end"/>
      </w:r>
      <w:r w:rsidR="00516D11">
        <w:rPr>
          <w:rFonts w:cs="Arial"/>
          <w:sz w:val="24"/>
        </w:rPr>
        <w:br/>
      </w:r>
    </w:p>
    <w:p w14:paraId="791DA543" w14:textId="6776CADF" w:rsidR="00516D11" w:rsidRPr="003C26B6" w:rsidRDefault="00516D11" w:rsidP="00516D11">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003C26B6">
        <w:rPr>
          <w:rFonts w:ascii="Arial" w:hAnsi="Arial" w:cs="Arial"/>
          <w:b/>
        </w:rPr>
        <w:t>Inter</w:t>
      </w:r>
      <w:r w:rsidR="003C26B6" w:rsidRPr="003C26B6">
        <w:rPr>
          <w:rFonts w:ascii="Arial" w:hAnsi="Arial" w:cs="Arial"/>
          <w:b/>
        </w:rPr>
        <w:t>-</w:t>
      </w:r>
      <w:r w:rsidR="003C26B6">
        <w:rPr>
          <w:rFonts w:ascii="Arial" w:hAnsi="Arial" w:cs="Arial"/>
          <w:b/>
        </w:rPr>
        <w:t xml:space="preserve">UE CLI </w:t>
      </w:r>
      <w:r w:rsidR="005E5FC3">
        <w:rPr>
          <w:rFonts w:ascii="Arial" w:hAnsi="Arial" w:cs="Arial"/>
          <w:b/>
        </w:rPr>
        <w:t xml:space="preserve">aspects and potential solutions for SBFD deployments </w:t>
      </w:r>
    </w:p>
    <w:p w14:paraId="0159F2DB" w14:textId="77777777"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72C6643E" w14:textId="24C9523D"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Pr>
          <w:rFonts w:ascii="Arial" w:hAnsi="Arial" w:cs="Arial"/>
          <w:b/>
        </w:rPr>
        <w:t>7.</w:t>
      </w:r>
      <w:r w:rsidR="005A5D37">
        <w:rPr>
          <w:rFonts w:ascii="Arial" w:hAnsi="Arial" w:cs="Arial"/>
          <w:b/>
        </w:rPr>
        <w:t>2</w:t>
      </w:r>
      <w:r w:rsidR="00F5104A">
        <w:rPr>
          <w:rFonts w:ascii="Arial" w:hAnsi="Arial" w:cs="Arial"/>
          <w:b/>
        </w:rPr>
        <w:t>1</w:t>
      </w:r>
      <w:r>
        <w:rPr>
          <w:rFonts w:ascii="Arial" w:hAnsi="Arial" w:cs="Arial"/>
          <w:b/>
        </w:rPr>
        <w:t>.</w:t>
      </w:r>
      <w:r w:rsidR="00A04D3D">
        <w:rPr>
          <w:rFonts w:ascii="Arial" w:hAnsi="Arial" w:cs="Arial"/>
          <w:b/>
        </w:rPr>
        <w:t>2</w:t>
      </w:r>
      <w:r w:rsidR="00F5104A">
        <w:rPr>
          <w:rFonts w:ascii="Arial" w:hAnsi="Arial" w:cs="Arial"/>
          <w:b/>
        </w:rPr>
        <w:t>.2</w:t>
      </w:r>
    </w:p>
    <w:p w14:paraId="40009091" w14:textId="77777777" w:rsidR="00516D11" w:rsidRPr="00C13DA6" w:rsidRDefault="00516D11" w:rsidP="00516D11">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57A32C14" w14:textId="77777777" w:rsidR="00A37CEF" w:rsidRPr="00785E35" w:rsidRDefault="00A37CEF" w:rsidP="0003651D">
      <w:pPr>
        <w:pStyle w:val="Heading1"/>
        <w:jc w:val="both"/>
      </w:pPr>
      <w:r w:rsidRPr="00785E35">
        <w:t>Introduction</w:t>
      </w:r>
      <w:bookmarkEnd w:id="0"/>
      <w:bookmarkEnd w:id="1"/>
    </w:p>
    <w:p w14:paraId="16D1D869" w14:textId="40B9F510" w:rsidR="00A37CEF" w:rsidRPr="005C6CB9" w:rsidRDefault="00A37CEF" w:rsidP="0003651D">
      <w:pPr>
        <w:spacing w:after="120" w:line="259" w:lineRule="auto"/>
        <w:ind w:right="-101"/>
        <w:jc w:val="both"/>
        <w:rPr>
          <w:rFonts w:eastAsia="Malgun Gothic"/>
          <w:lang w:val="en-CA" w:eastAsia="ko-KR"/>
        </w:rPr>
      </w:pPr>
      <w:r>
        <w:t xml:space="preserve">In </w:t>
      </w:r>
      <w:r w:rsidRPr="00785E35">
        <w:t>RAN#</w:t>
      </w:r>
      <w:r>
        <w:t>102</w:t>
      </w:r>
      <w:r w:rsidRPr="00785E35">
        <w:t xml:space="preserve">, the </w:t>
      </w:r>
      <w:r>
        <w:t>work</w:t>
      </w:r>
      <w:r w:rsidRPr="00785E35">
        <w:t xml:space="preserve"> item on </w:t>
      </w:r>
      <w:r>
        <w:t>e</w:t>
      </w:r>
      <w:r w:rsidRPr="00EB0730">
        <w:t>volution of NR duplex operation</w:t>
      </w:r>
      <w:r w:rsidR="009534D5">
        <w:t xml:space="preserve"> </w:t>
      </w:r>
      <w:r w:rsidRPr="00E95917">
        <w:t>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rsidR="006B22A3">
        <w:t>[1]</w:t>
      </w:r>
      <w:r w:rsidRPr="00785E35">
        <w:fldChar w:fldCharType="end"/>
      </w:r>
      <w:r w:rsidRPr="00785E35">
        <w:t>.</w:t>
      </w:r>
      <w:r>
        <w:t xml:space="preserve"> </w:t>
      </w:r>
      <w:r w:rsidR="00F44EF7">
        <w:t xml:space="preserve">From RAN4 </w:t>
      </w:r>
      <w:r w:rsidR="0023172D">
        <w:t xml:space="preserve">RF </w:t>
      </w:r>
      <w:r w:rsidR="00F44EF7">
        <w:t>perspective, t</w:t>
      </w:r>
      <w:r w:rsidRPr="00177BCB">
        <w:t xml:space="preserve">he objective of </w:t>
      </w:r>
      <w:r>
        <w:t xml:space="preserve">the work item is </w:t>
      </w:r>
      <w:r w:rsidR="00E8553E">
        <w:t>as follows:</w:t>
      </w:r>
      <w:r>
        <w:t xml:space="preserve"> </w:t>
      </w:r>
    </w:p>
    <w:tbl>
      <w:tblPr>
        <w:tblStyle w:val="TableGrid"/>
        <w:tblW w:w="0" w:type="auto"/>
        <w:tblLook w:val="04A0" w:firstRow="1" w:lastRow="0" w:firstColumn="1" w:lastColumn="0" w:noHBand="0" w:noVBand="1"/>
      </w:tblPr>
      <w:tblGrid>
        <w:gridCol w:w="9962"/>
      </w:tblGrid>
      <w:tr w:rsidR="00A37CEF" w14:paraId="110D1ACE" w14:textId="77777777" w:rsidTr="00255BB3">
        <w:tc>
          <w:tcPr>
            <w:tcW w:w="9962" w:type="dxa"/>
          </w:tcPr>
          <w:p w14:paraId="0B67DFFB" w14:textId="77777777" w:rsidR="00A37CEF" w:rsidRDefault="00A37CEF" w:rsidP="0003651D">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EFF3E7D" w14:textId="5B49ACDB" w:rsidR="00A37CEF" w:rsidRPr="0023172D" w:rsidRDefault="00E8553E" w:rsidP="0003651D">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Specify BS RF requirements for SBFD operation at </w:t>
            </w:r>
            <w:proofErr w:type="spellStart"/>
            <w:r w:rsidRPr="003E0D9F">
              <w:rPr>
                <w:rFonts w:eastAsia="Malgun Gothic"/>
                <w:lang w:eastAsia="ko-KR"/>
              </w:rPr>
              <w:t>gNB</w:t>
            </w:r>
            <w:proofErr w:type="spellEnd"/>
            <w:r w:rsidRPr="003E0D9F">
              <w:rPr>
                <w:rFonts w:eastAsia="Malgun Gothic"/>
                <w:lang w:eastAsia="ko-KR"/>
              </w:rPr>
              <w:t xml:space="preserve"> [RAN4]</w:t>
            </w:r>
          </w:p>
        </w:tc>
      </w:tr>
    </w:tbl>
    <w:p w14:paraId="70A679AC" w14:textId="77777777" w:rsidR="00D33EF0" w:rsidRDefault="00D33EF0" w:rsidP="0003651D">
      <w:pPr>
        <w:jc w:val="both"/>
      </w:pPr>
    </w:p>
    <w:p w14:paraId="6556B6C7" w14:textId="743B5C9E" w:rsidR="00A37CEF" w:rsidRDefault="00D33EF0" w:rsidP="0003651D">
      <w:pPr>
        <w:jc w:val="both"/>
      </w:pPr>
      <w:r>
        <w:t>Moreover, i</w:t>
      </w:r>
      <w:r w:rsidR="0023172D">
        <w:t>n RAN4#11</w:t>
      </w:r>
      <w:r>
        <w:t>5</w:t>
      </w:r>
      <w:r w:rsidR="0023172D">
        <w:t xml:space="preserve">, </w:t>
      </w:r>
      <w:r>
        <w:t>there w</w:t>
      </w:r>
      <w:r w:rsidR="00A16404">
        <w:t xml:space="preserve">ere </w:t>
      </w:r>
      <w:r>
        <w:t xml:space="preserve">discussions on potential impact of inter-UE CLI </w:t>
      </w:r>
      <w:r w:rsidR="00D11BA4">
        <w:t xml:space="preserve">adjacent channel interference and potential solutions when a legacy TDD is operating adjacent to SBFD, with specific focus on urban hotspot deployments. Accordingly, </w:t>
      </w:r>
      <w:r w:rsidR="0023172D">
        <w:t>a WF was agreed in [</w:t>
      </w:r>
      <w:r w:rsidR="00090EE8">
        <w:t>2</w:t>
      </w:r>
      <w:r w:rsidR="0023172D">
        <w:t>]</w:t>
      </w:r>
      <w:r w:rsidR="001F4CBD">
        <w:t xml:space="preserve"> </w:t>
      </w:r>
      <w:r w:rsidR="00442071">
        <w:t xml:space="preserve">entailing several </w:t>
      </w:r>
      <w:r w:rsidR="00D11BA4">
        <w:t xml:space="preserve">the problem statement, discussion points, potential solutions and framework to assess each solution. </w:t>
      </w:r>
      <w:r w:rsidR="00A37CEF">
        <w:t xml:space="preserve">In this contribution we </w:t>
      </w:r>
      <w:r w:rsidR="00EB7153">
        <w:t xml:space="preserve">share our views on </w:t>
      </w:r>
      <w:r w:rsidR="00E30303">
        <w:t>the</w:t>
      </w:r>
      <w:r w:rsidR="002D2181">
        <w:t xml:space="preserve"> </w:t>
      </w:r>
      <w:r w:rsidR="00507D20">
        <w:t>aspects raised in [2]</w:t>
      </w:r>
      <w:r w:rsidR="00F85F2B">
        <w:t xml:space="preserve"> and we conduct a feasibility analysis to each of the identified solutions</w:t>
      </w:r>
      <w:r w:rsidR="00500954">
        <w:t xml:space="preserve">. </w:t>
      </w:r>
    </w:p>
    <w:p w14:paraId="378964AC" w14:textId="322573C3" w:rsidR="00474BBD" w:rsidRPr="00DB2895" w:rsidRDefault="00615DAF" w:rsidP="005D4C8A">
      <w:pPr>
        <w:pStyle w:val="Heading1"/>
        <w:rPr>
          <w:lang w:val="en-US"/>
        </w:rPr>
      </w:pPr>
      <w:r>
        <w:rPr>
          <w:lang w:val="en-US"/>
        </w:rPr>
        <w:t>Problem statement</w:t>
      </w:r>
    </w:p>
    <w:p w14:paraId="2D1AE753" w14:textId="16E54E6B" w:rsidR="00265C11" w:rsidRDefault="00265C11" w:rsidP="00265C11">
      <w:r>
        <w:t xml:space="preserve">In [2], the following was </w:t>
      </w:r>
      <w:r w:rsidR="008C01E0">
        <w:t>captured regarding the coexistence between SBFD DU as an aggressor and NR TDD DL as a victim</w:t>
      </w:r>
      <w:r w:rsidR="00C4547A">
        <w:t xml:space="preserve">. </w:t>
      </w:r>
      <w:r w:rsidR="00DB2895">
        <w:t xml:space="preserve"> </w:t>
      </w:r>
    </w:p>
    <w:tbl>
      <w:tblPr>
        <w:tblStyle w:val="TableGrid"/>
        <w:tblW w:w="0" w:type="auto"/>
        <w:tblLook w:val="04A0" w:firstRow="1" w:lastRow="0" w:firstColumn="1" w:lastColumn="0" w:noHBand="0" w:noVBand="1"/>
      </w:tblPr>
      <w:tblGrid>
        <w:gridCol w:w="9962"/>
      </w:tblGrid>
      <w:tr w:rsidR="001728C6" w14:paraId="4713ED80" w14:textId="77777777" w:rsidTr="001728C6">
        <w:tc>
          <w:tcPr>
            <w:tcW w:w="9962" w:type="dxa"/>
          </w:tcPr>
          <w:p w14:paraId="04BD36CE" w14:textId="77777777" w:rsidR="0095769B" w:rsidRPr="0095769B" w:rsidRDefault="0095769B" w:rsidP="0095769B">
            <w:pPr>
              <w:spacing w:after="120" w:line="259" w:lineRule="auto"/>
            </w:pPr>
            <w:r w:rsidRPr="0095769B">
              <w:rPr>
                <w:rFonts w:eastAsiaTheme="minorEastAsia"/>
              </w:rPr>
              <w:t xml:space="preserve">Based on Rel-18 study, the following conclusion is provided for Case 1 (aggressor SBFD DU victim NR TDD DL) in the conclusion part of Chapter 11 in TR 38.858: </w:t>
            </w:r>
          </w:p>
          <w:tbl>
            <w:tblPr>
              <w:tblStyle w:val="TableGrid"/>
              <w:tblW w:w="0" w:type="auto"/>
              <w:tblInd w:w="284" w:type="dxa"/>
              <w:tblLook w:val="04A0" w:firstRow="1" w:lastRow="0" w:firstColumn="1" w:lastColumn="0" w:noHBand="0" w:noVBand="1"/>
            </w:tblPr>
            <w:tblGrid>
              <w:gridCol w:w="9452"/>
            </w:tblGrid>
            <w:tr w:rsidR="0095769B" w14:paraId="7662BB5A" w14:textId="77777777" w:rsidTr="00B07BD2">
              <w:tc>
                <w:tcPr>
                  <w:tcW w:w="9629" w:type="dxa"/>
                </w:tcPr>
                <w:p w14:paraId="69EC303C" w14:textId="77777777" w:rsidR="0095769B" w:rsidRPr="00176EEF" w:rsidRDefault="0095769B" w:rsidP="0095769B">
                  <w:pPr>
                    <w:pStyle w:val="Heading3"/>
                    <w:numPr>
                      <w:ilvl w:val="0"/>
                      <w:numId w:val="0"/>
                    </w:numPr>
                    <w:ind w:left="720" w:hanging="720"/>
                    <w:rPr>
                      <w:rFonts w:eastAsia="DengXian"/>
                    </w:rPr>
                  </w:pPr>
                  <w:bookmarkStart w:id="2" w:name="_Toc152011646"/>
                  <w:bookmarkStart w:id="3" w:name="_Toc163595887"/>
                  <w:r w:rsidRPr="00176EEF">
                    <w:rPr>
                      <w:rFonts w:eastAsia="DengXian"/>
                    </w:rPr>
                    <w:t>11.3.1</w:t>
                  </w:r>
                  <w:r w:rsidRPr="00176EEF">
                    <w:rPr>
                      <w:rFonts w:eastAsia="DengXian"/>
                    </w:rPr>
                    <w:tab/>
                    <w:t>Case 1: aggressor SBFD DU victim NR TDD DL</w:t>
                  </w:r>
                  <w:bookmarkEnd w:id="2"/>
                  <w:bookmarkEnd w:id="3"/>
                </w:p>
                <w:p w14:paraId="25035EDE" w14:textId="77777777" w:rsidR="0095769B" w:rsidRPr="00176EEF" w:rsidRDefault="0095769B" w:rsidP="0095769B">
                  <w:pPr>
                    <w:rPr>
                      <w:rFonts w:eastAsia="DengXian"/>
                    </w:rPr>
                  </w:pPr>
                  <w:r w:rsidRPr="00176EEF">
                    <w:rPr>
                      <w:rFonts w:eastAsia="DengXian"/>
                    </w:rPr>
                    <w:t>Case 1 considers legacy TDD in DL slot as a victim while SBFD is operating in the adjacent channel for both FR1 and FR2-1. The conclusions are listed per scenario in Table 11.3.1-1.</w:t>
                  </w:r>
                </w:p>
                <w:p w14:paraId="0D5B21CD" w14:textId="77777777" w:rsidR="0095769B" w:rsidRPr="00176EEF" w:rsidRDefault="0095769B" w:rsidP="0095769B">
                  <w:pPr>
                    <w:pStyle w:val="TH"/>
                    <w:rPr>
                      <w:rFonts w:eastAsia="DengXian"/>
                    </w:rPr>
                  </w:pPr>
                  <w:r w:rsidRPr="00176EEF">
                    <w:rPr>
                      <w:rFonts w:eastAsia="DengXian"/>
                    </w:rPr>
                    <w:t>Table 11.3.1-1: Case 1 co-existence conclusions</w:t>
                  </w:r>
                </w:p>
                <w:tbl>
                  <w:tblPr>
                    <w:tblStyle w:val="TableGrid1"/>
                    <w:tblW w:w="9351" w:type="dxa"/>
                    <w:tblInd w:w="0" w:type="dxa"/>
                    <w:tblLook w:val="04A0" w:firstRow="1" w:lastRow="0" w:firstColumn="1" w:lastColumn="0" w:noHBand="0" w:noVBand="1"/>
                  </w:tblPr>
                  <w:tblGrid>
                    <w:gridCol w:w="2263"/>
                    <w:gridCol w:w="2127"/>
                    <w:gridCol w:w="4961"/>
                  </w:tblGrid>
                  <w:tr w:rsidR="0095769B" w:rsidRPr="00176EEF" w14:paraId="76B5FAD3" w14:textId="77777777" w:rsidTr="00B07BD2">
                    <w:tc>
                      <w:tcPr>
                        <w:tcW w:w="2263" w:type="dxa"/>
                        <w:tcBorders>
                          <w:bottom w:val="single" w:sz="4" w:space="0" w:color="auto"/>
                        </w:tcBorders>
                        <w:vAlign w:val="center"/>
                      </w:tcPr>
                      <w:p w14:paraId="7C2C5CF5" w14:textId="77777777" w:rsidR="0095769B" w:rsidRPr="00176EEF" w:rsidRDefault="0095769B" w:rsidP="0095769B">
                        <w:pPr>
                          <w:keepNext/>
                          <w:keepLines/>
                          <w:spacing w:after="0"/>
                          <w:jc w:val="center"/>
                          <w:rPr>
                            <w:rFonts w:ascii="Arial" w:hAnsi="Arial"/>
                            <w:b/>
                            <w:sz w:val="18"/>
                          </w:rPr>
                        </w:pPr>
                        <w:r w:rsidRPr="00176EEF">
                          <w:rPr>
                            <w:rFonts w:ascii="Arial" w:hAnsi="Arial"/>
                            <w:b/>
                            <w:sz w:val="18"/>
                          </w:rPr>
                          <w:t>Deployment Scenario</w:t>
                        </w:r>
                      </w:p>
                      <w:p w14:paraId="4CF718A4" w14:textId="77777777" w:rsidR="0095769B" w:rsidRPr="00176EEF" w:rsidRDefault="0095769B" w:rsidP="0095769B">
                        <w:pPr>
                          <w:keepNext/>
                          <w:keepLines/>
                          <w:spacing w:after="0"/>
                          <w:jc w:val="center"/>
                          <w:rPr>
                            <w:rFonts w:ascii="Arial" w:hAnsi="Arial"/>
                            <w:b/>
                            <w:sz w:val="18"/>
                          </w:rPr>
                        </w:pPr>
                        <w:r w:rsidRPr="00176EEF">
                          <w:rPr>
                            <w:rFonts w:ascii="Arial" w:hAnsi="Arial"/>
                            <w:b/>
                            <w:sz w:val="18"/>
                          </w:rPr>
                          <w:t>(Aggressor -&gt; Victim)</w:t>
                        </w:r>
                      </w:p>
                    </w:tc>
                    <w:tc>
                      <w:tcPr>
                        <w:tcW w:w="2127" w:type="dxa"/>
                        <w:tcBorders>
                          <w:bottom w:val="single" w:sz="4" w:space="0" w:color="auto"/>
                        </w:tcBorders>
                        <w:vAlign w:val="center"/>
                      </w:tcPr>
                      <w:p w14:paraId="3E792C50" w14:textId="77777777" w:rsidR="0095769B" w:rsidRPr="00176EEF" w:rsidRDefault="0095769B" w:rsidP="0095769B">
                        <w:pPr>
                          <w:keepNext/>
                          <w:keepLines/>
                          <w:spacing w:after="0"/>
                          <w:jc w:val="center"/>
                          <w:rPr>
                            <w:rFonts w:ascii="Arial" w:hAnsi="Arial"/>
                            <w:b/>
                            <w:sz w:val="18"/>
                          </w:rPr>
                        </w:pPr>
                        <w:r w:rsidRPr="00176EEF">
                          <w:rPr>
                            <w:rFonts w:ascii="Arial" w:hAnsi="Arial"/>
                            <w:b/>
                            <w:sz w:val="18"/>
                          </w:rPr>
                          <w:t>Frequency range</w:t>
                        </w:r>
                      </w:p>
                    </w:tc>
                    <w:tc>
                      <w:tcPr>
                        <w:tcW w:w="4961" w:type="dxa"/>
                        <w:vAlign w:val="center"/>
                      </w:tcPr>
                      <w:p w14:paraId="49A5BFA5" w14:textId="77777777" w:rsidR="0095769B" w:rsidRPr="00176EEF" w:rsidRDefault="0095769B" w:rsidP="0095769B">
                        <w:pPr>
                          <w:keepNext/>
                          <w:keepLines/>
                          <w:spacing w:after="0"/>
                          <w:jc w:val="center"/>
                          <w:rPr>
                            <w:rFonts w:ascii="Arial" w:hAnsi="Arial"/>
                            <w:b/>
                            <w:sz w:val="18"/>
                          </w:rPr>
                        </w:pPr>
                        <w:r w:rsidRPr="00176EEF">
                          <w:rPr>
                            <w:rFonts w:ascii="Arial" w:hAnsi="Arial"/>
                            <w:b/>
                            <w:sz w:val="18"/>
                          </w:rPr>
                          <w:t>Co-existence conclusion</w:t>
                        </w:r>
                      </w:p>
                    </w:tc>
                  </w:tr>
                  <w:tr w:rsidR="0095769B" w:rsidRPr="00176EEF" w14:paraId="2E8E691C" w14:textId="77777777" w:rsidTr="00B07BD2">
                    <w:tc>
                      <w:tcPr>
                        <w:tcW w:w="2263" w:type="dxa"/>
                        <w:tcBorders>
                          <w:bottom w:val="single" w:sz="4" w:space="0" w:color="auto"/>
                        </w:tcBorders>
                        <w:vAlign w:val="center"/>
                      </w:tcPr>
                      <w:p w14:paraId="3E646158" w14:textId="77777777" w:rsidR="0095769B" w:rsidRPr="00176EEF" w:rsidRDefault="0095769B" w:rsidP="0095769B">
                        <w:pPr>
                          <w:keepNext/>
                          <w:keepLines/>
                          <w:spacing w:after="0"/>
                          <w:jc w:val="center"/>
                          <w:rPr>
                            <w:rFonts w:ascii="Arial" w:hAnsi="Arial"/>
                            <w:sz w:val="18"/>
                          </w:rPr>
                        </w:pPr>
                        <w:r w:rsidRPr="00176EEF">
                          <w:rPr>
                            <w:rFonts w:ascii="Arial" w:hAnsi="Arial"/>
                            <w:sz w:val="18"/>
                          </w:rPr>
                          <w:t>Urban Macro -&gt; Urban Macro</w:t>
                        </w:r>
                      </w:p>
                      <w:p w14:paraId="2BF74E01" w14:textId="77777777" w:rsidR="0095769B" w:rsidRPr="00176EEF" w:rsidRDefault="0095769B" w:rsidP="0095769B">
                        <w:pPr>
                          <w:keepNext/>
                          <w:keepLines/>
                          <w:spacing w:after="0"/>
                          <w:jc w:val="center"/>
                          <w:rPr>
                            <w:rFonts w:ascii="Arial" w:hAnsi="Arial"/>
                            <w:sz w:val="18"/>
                          </w:rPr>
                        </w:pPr>
                        <w:r w:rsidRPr="00176EEF">
                          <w:rPr>
                            <w:rFonts w:ascii="Arial" w:hAnsi="Arial"/>
                            <w:sz w:val="18"/>
                          </w:rPr>
                          <w:t xml:space="preserve">Scenario 1 and </w:t>
                        </w:r>
                        <w:r w:rsidRPr="00176EEF">
                          <w:rPr>
                            <w:rFonts w:ascii="Arial" w:hAnsi="Arial"/>
                            <w:sz w:val="18"/>
                          </w:rPr>
                          <w:br/>
                          <w:t>Scenario 6</w:t>
                        </w:r>
                      </w:p>
                    </w:tc>
                    <w:tc>
                      <w:tcPr>
                        <w:tcW w:w="2127" w:type="dxa"/>
                        <w:tcBorders>
                          <w:bottom w:val="single" w:sz="4" w:space="0" w:color="auto"/>
                        </w:tcBorders>
                        <w:vAlign w:val="center"/>
                      </w:tcPr>
                      <w:p w14:paraId="49783875" w14:textId="77777777" w:rsidR="0095769B" w:rsidRPr="00176EEF" w:rsidRDefault="0095769B" w:rsidP="0095769B">
                        <w:pPr>
                          <w:keepNext/>
                          <w:keepLines/>
                          <w:spacing w:after="0"/>
                          <w:jc w:val="center"/>
                          <w:rPr>
                            <w:rFonts w:ascii="Arial" w:hAnsi="Arial"/>
                            <w:sz w:val="18"/>
                          </w:rPr>
                        </w:pPr>
                        <w:r w:rsidRPr="00176EEF">
                          <w:rPr>
                            <w:rFonts w:ascii="Arial" w:hAnsi="Arial"/>
                            <w:sz w:val="18"/>
                          </w:rPr>
                          <w:t>FR1 and FR2-1</w:t>
                        </w:r>
                      </w:p>
                    </w:tc>
                    <w:tc>
                      <w:tcPr>
                        <w:tcW w:w="4961" w:type="dxa"/>
                        <w:vAlign w:val="center"/>
                      </w:tcPr>
                      <w:p w14:paraId="241AADE8" w14:textId="77777777" w:rsidR="0095769B" w:rsidRPr="00176EEF" w:rsidRDefault="0095769B" w:rsidP="0095769B">
                        <w:pPr>
                          <w:keepNext/>
                          <w:keepLines/>
                          <w:spacing w:after="0"/>
                          <w:rPr>
                            <w:rFonts w:ascii="Arial" w:hAnsi="Arial"/>
                            <w:sz w:val="18"/>
                          </w:rPr>
                        </w:pPr>
                        <w:r w:rsidRPr="00176EEF">
                          <w:rPr>
                            <w:rFonts w:ascii="Arial" w:hAnsi="Arial"/>
                            <w:sz w:val="18"/>
                          </w:rPr>
                          <w:t xml:space="preserve">No DL throughput degradation on the victim legacy TDD DL network for both average throughput and cell edge throughput is observed for different BS Tx powers (46 dBm to 53 dBm for FR1 and 30 dBm for FR2-1), grid-shifts (5% to 100%), and different SBFD BS antenna configurations.  </w:t>
                        </w:r>
                      </w:p>
                    </w:tc>
                  </w:tr>
                  <w:tr w:rsidR="0095769B" w:rsidRPr="00176EEF" w14:paraId="0A1D0113" w14:textId="77777777" w:rsidTr="00B07BD2">
                    <w:tc>
                      <w:tcPr>
                        <w:tcW w:w="2263" w:type="dxa"/>
                        <w:tcBorders>
                          <w:top w:val="single" w:sz="4" w:space="0" w:color="auto"/>
                        </w:tcBorders>
                        <w:vAlign w:val="center"/>
                      </w:tcPr>
                      <w:p w14:paraId="28632A1F" w14:textId="77777777" w:rsidR="0095769B" w:rsidRPr="005B33E5" w:rsidRDefault="0095769B" w:rsidP="0095769B">
                        <w:pPr>
                          <w:keepNext/>
                          <w:keepLines/>
                          <w:spacing w:after="0"/>
                          <w:jc w:val="center"/>
                          <w:rPr>
                            <w:rFonts w:ascii="Arial" w:hAnsi="Arial"/>
                            <w:sz w:val="18"/>
                            <w:highlight w:val="yellow"/>
                          </w:rPr>
                        </w:pPr>
                        <w:r w:rsidRPr="005B33E5">
                          <w:rPr>
                            <w:rFonts w:ascii="Arial" w:hAnsi="Arial"/>
                            <w:sz w:val="18"/>
                            <w:highlight w:val="yellow"/>
                          </w:rPr>
                          <w:t xml:space="preserve">Urban Hotspot -&gt; Urban Hotspot </w:t>
                        </w:r>
                      </w:p>
                      <w:p w14:paraId="7F539DA8" w14:textId="77777777" w:rsidR="0095769B" w:rsidRPr="005B33E5" w:rsidRDefault="0095769B" w:rsidP="0095769B">
                        <w:pPr>
                          <w:keepNext/>
                          <w:keepLines/>
                          <w:spacing w:after="0"/>
                          <w:jc w:val="center"/>
                          <w:rPr>
                            <w:rFonts w:ascii="Arial" w:hAnsi="Arial"/>
                            <w:sz w:val="18"/>
                            <w:highlight w:val="yellow"/>
                          </w:rPr>
                        </w:pPr>
                        <w:r w:rsidRPr="005B33E5">
                          <w:rPr>
                            <w:rFonts w:ascii="Arial" w:hAnsi="Arial"/>
                            <w:sz w:val="18"/>
                            <w:highlight w:val="yellow"/>
                          </w:rPr>
                          <w:t>Scenario 2</w:t>
                        </w:r>
                      </w:p>
                    </w:tc>
                    <w:tc>
                      <w:tcPr>
                        <w:tcW w:w="2127" w:type="dxa"/>
                        <w:tcBorders>
                          <w:top w:val="single" w:sz="4" w:space="0" w:color="auto"/>
                        </w:tcBorders>
                        <w:vAlign w:val="center"/>
                      </w:tcPr>
                      <w:p w14:paraId="45D4314A" w14:textId="77777777" w:rsidR="0095769B" w:rsidRPr="005B33E5" w:rsidRDefault="0095769B" w:rsidP="0095769B">
                        <w:pPr>
                          <w:keepNext/>
                          <w:keepLines/>
                          <w:spacing w:after="0"/>
                          <w:jc w:val="center"/>
                          <w:rPr>
                            <w:rFonts w:ascii="Arial" w:hAnsi="Arial"/>
                            <w:sz w:val="18"/>
                            <w:highlight w:val="yellow"/>
                          </w:rPr>
                        </w:pPr>
                        <w:r w:rsidRPr="005B33E5">
                          <w:rPr>
                            <w:rFonts w:ascii="Arial" w:hAnsi="Arial"/>
                            <w:sz w:val="18"/>
                            <w:highlight w:val="yellow"/>
                          </w:rPr>
                          <w:t>FR1</w:t>
                        </w:r>
                      </w:p>
                    </w:tc>
                    <w:tc>
                      <w:tcPr>
                        <w:tcW w:w="4961" w:type="dxa"/>
                      </w:tcPr>
                      <w:p w14:paraId="7873B613" w14:textId="77777777" w:rsidR="0095769B" w:rsidRPr="005B33E5" w:rsidRDefault="0095769B" w:rsidP="0095769B">
                        <w:pPr>
                          <w:keepNext/>
                          <w:keepLines/>
                          <w:spacing w:after="0"/>
                          <w:rPr>
                            <w:rFonts w:ascii="Arial" w:hAnsi="Arial"/>
                            <w:strike/>
                            <w:sz w:val="18"/>
                            <w:highlight w:val="yellow"/>
                          </w:rPr>
                        </w:pPr>
                        <w:r w:rsidRPr="005B33E5">
                          <w:rPr>
                            <w:rFonts w:ascii="Arial" w:hAnsi="Arial"/>
                            <w:sz w:val="18"/>
                            <w:highlight w:val="yellow"/>
                          </w:rPr>
                          <w:t>DL throughput degradation is observed only at cell edge due to inter-UE CLI for different grid-shifts (</w:t>
                        </w:r>
                        <w:r w:rsidRPr="005B33E5">
                          <w:rPr>
                            <w:rFonts w:ascii="Arial" w:hAnsi="Arial" w:hint="eastAsia"/>
                            <w:sz w:val="18"/>
                            <w:highlight w:val="yellow"/>
                            <w:lang w:eastAsia="zh-CN"/>
                          </w:rPr>
                          <w:t>5</w:t>
                        </w:r>
                        <w:r w:rsidRPr="005B33E5">
                          <w:rPr>
                            <w:rFonts w:ascii="Arial" w:hAnsi="Arial"/>
                            <w:sz w:val="18"/>
                            <w:highlight w:val="yellow"/>
                          </w:rPr>
                          <w:t>%</w:t>
                        </w:r>
                        <w:r w:rsidRPr="005B33E5">
                          <w:rPr>
                            <w:rFonts w:ascii="Arial" w:hAnsi="Arial" w:hint="eastAsia"/>
                            <w:sz w:val="18"/>
                            <w:highlight w:val="yellow"/>
                            <w:lang w:eastAsia="zh-CN"/>
                          </w:rPr>
                          <w:t xml:space="preserve"> to </w:t>
                        </w:r>
                        <w:r w:rsidRPr="005B33E5">
                          <w:rPr>
                            <w:rFonts w:ascii="Arial" w:hAnsi="Arial"/>
                            <w:sz w:val="18"/>
                            <w:highlight w:val="yellow"/>
                          </w:rPr>
                          <w:t>100%) and BS Tx powers (46 dBm to 53 dBm).</w:t>
                        </w:r>
                      </w:p>
                    </w:tc>
                  </w:tr>
                  <w:tr w:rsidR="0095769B" w:rsidRPr="00176EEF" w14:paraId="6C1F4F8E" w14:textId="77777777" w:rsidTr="00B07BD2">
                    <w:tc>
                      <w:tcPr>
                        <w:tcW w:w="2263" w:type="dxa"/>
                        <w:tcBorders>
                          <w:top w:val="single" w:sz="4" w:space="0" w:color="auto"/>
                        </w:tcBorders>
                        <w:vAlign w:val="center"/>
                      </w:tcPr>
                      <w:p w14:paraId="15BEE748" w14:textId="77777777" w:rsidR="0095769B" w:rsidRPr="00176EEF" w:rsidRDefault="0095769B" w:rsidP="0095769B">
                        <w:pPr>
                          <w:keepNext/>
                          <w:keepLines/>
                          <w:spacing w:after="0"/>
                          <w:jc w:val="center"/>
                          <w:rPr>
                            <w:rFonts w:ascii="Arial" w:hAnsi="Arial"/>
                            <w:color w:val="000000"/>
                            <w:sz w:val="18"/>
                            <w:lang w:eastAsia="zh-CN" w:bidi="ar"/>
                          </w:rPr>
                        </w:pPr>
                        <w:r w:rsidRPr="00176EEF">
                          <w:rPr>
                            <w:rFonts w:ascii="Arial" w:hAnsi="Arial"/>
                            <w:color w:val="000000"/>
                            <w:sz w:val="18"/>
                            <w:lang w:eastAsia="zh-CN" w:bidi="ar"/>
                          </w:rPr>
                          <w:t xml:space="preserve">Urban Macro -&gt; Urban Micro </w:t>
                        </w:r>
                      </w:p>
                      <w:p w14:paraId="57BB8388" w14:textId="77777777" w:rsidR="0095769B" w:rsidRPr="00176EEF" w:rsidRDefault="0095769B" w:rsidP="0095769B">
                        <w:pPr>
                          <w:keepNext/>
                          <w:keepLines/>
                          <w:spacing w:after="0"/>
                          <w:jc w:val="center"/>
                          <w:rPr>
                            <w:rFonts w:ascii="Arial" w:hAnsi="Arial"/>
                            <w:sz w:val="18"/>
                          </w:rPr>
                        </w:pPr>
                        <w:r w:rsidRPr="00176EEF">
                          <w:rPr>
                            <w:rFonts w:ascii="Arial" w:hAnsi="Arial"/>
                            <w:color w:val="000000"/>
                            <w:sz w:val="18"/>
                            <w:lang w:eastAsia="zh-CN" w:bidi="ar"/>
                          </w:rPr>
                          <w:t>Scenario 4</w:t>
                        </w:r>
                      </w:p>
                    </w:tc>
                    <w:tc>
                      <w:tcPr>
                        <w:tcW w:w="2127" w:type="dxa"/>
                        <w:tcBorders>
                          <w:top w:val="single" w:sz="4" w:space="0" w:color="auto"/>
                        </w:tcBorders>
                        <w:vAlign w:val="center"/>
                      </w:tcPr>
                      <w:p w14:paraId="4FB1D218" w14:textId="77777777" w:rsidR="0095769B" w:rsidRPr="00176EEF" w:rsidRDefault="0095769B" w:rsidP="0095769B">
                        <w:pPr>
                          <w:keepNext/>
                          <w:keepLines/>
                          <w:spacing w:after="0"/>
                          <w:jc w:val="center"/>
                          <w:rPr>
                            <w:rFonts w:ascii="Arial" w:hAnsi="Arial"/>
                            <w:sz w:val="18"/>
                          </w:rPr>
                        </w:pPr>
                        <w:r w:rsidRPr="00176EEF">
                          <w:rPr>
                            <w:rFonts w:ascii="Arial" w:hAnsi="Arial"/>
                            <w:sz w:val="18"/>
                          </w:rPr>
                          <w:t>FR1</w:t>
                        </w:r>
                      </w:p>
                    </w:tc>
                    <w:tc>
                      <w:tcPr>
                        <w:tcW w:w="4961" w:type="dxa"/>
                        <w:vMerge w:val="restart"/>
                        <w:vAlign w:val="center"/>
                      </w:tcPr>
                      <w:p w14:paraId="73D5CCD0" w14:textId="77777777" w:rsidR="0095769B" w:rsidRPr="00176EEF" w:rsidRDefault="0095769B" w:rsidP="0095769B">
                        <w:pPr>
                          <w:keepNext/>
                          <w:keepLines/>
                          <w:spacing w:after="0"/>
                          <w:rPr>
                            <w:rFonts w:ascii="Arial" w:hAnsi="Arial"/>
                            <w:sz w:val="18"/>
                          </w:rPr>
                        </w:pPr>
                        <w:r w:rsidRPr="00176EEF">
                          <w:rPr>
                            <w:rFonts w:ascii="Arial" w:hAnsi="Arial"/>
                            <w:sz w:val="18"/>
                          </w:rPr>
                          <w:t>No DL throughput degradation for both average throughput and cell edge throughput is observed.</w:t>
                        </w:r>
                      </w:p>
                    </w:tc>
                  </w:tr>
                  <w:tr w:rsidR="0095769B" w:rsidRPr="00176EEF" w14:paraId="6DBB6B1D" w14:textId="77777777" w:rsidTr="00B07BD2">
                    <w:tc>
                      <w:tcPr>
                        <w:tcW w:w="2263" w:type="dxa"/>
                        <w:vAlign w:val="center"/>
                      </w:tcPr>
                      <w:p w14:paraId="083BEE81" w14:textId="77777777" w:rsidR="0095769B" w:rsidRPr="00176EEF" w:rsidRDefault="0095769B" w:rsidP="0095769B">
                        <w:pPr>
                          <w:keepNext/>
                          <w:keepLines/>
                          <w:spacing w:after="0"/>
                          <w:jc w:val="center"/>
                          <w:rPr>
                            <w:rFonts w:ascii="Arial" w:hAnsi="Arial"/>
                            <w:sz w:val="18"/>
                          </w:rPr>
                        </w:pPr>
                        <w:r w:rsidRPr="00176EEF">
                          <w:rPr>
                            <w:rFonts w:ascii="Arial" w:hAnsi="Arial"/>
                            <w:sz w:val="18"/>
                          </w:rPr>
                          <w:lastRenderedPageBreak/>
                          <w:t>Indoor -&gt; Indoor</w:t>
                        </w:r>
                      </w:p>
                      <w:p w14:paraId="7E397E56" w14:textId="77777777" w:rsidR="0095769B" w:rsidRPr="00176EEF" w:rsidRDefault="0095769B" w:rsidP="0095769B">
                        <w:pPr>
                          <w:keepNext/>
                          <w:keepLines/>
                          <w:spacing w:after="0"/>
                          <w:jc w:val="center"/>
                          <w:rPr>
                            <w:rFonts w:ascii="Arial" w:hAnsi="Arial"/>
                            <w:sz w:val="18"/>
                          </w:rPr>
                        </w:pPr>
                        <w:r w:rsidRPr="00176EEF">
                          <w:rPr>
                            <w:rFonts w:ascii="Arial" w:hAnsi="Arial"/>
                            <w:sz w:val="18"/>
                          </w:rPr>
                          <w:t>Scenario 3 and</w:t>
                        </w:r>
                        <w:r w:rsidRPr="00176EEF">
                          <w:rPr>
                            <w:rFonts w:ascii="Arial" w:hAnsi="Arial"/>
                            <w:sz w:val="18"/>
                          </w:rPr>
                          <w:br/>
                          <w:t xml:space="preserve"> Scenario 9</w:t>
                        </w:r>
                      </w:p>
                    </w:tc>
                    <w:tc>
                      <w:tcPr>
                        <w:tcW w:w="2127" w:type="dxa"/>
                        <w:vAlign w:val="center"/>
                      </w:tcPr>
                      <w:p w14:paraId="7EB0A146" w14:textId="77777777" w:rsidR="0095769B" w:rsidRPr="00176EEF" w:rsidRDefault="0095769B" w:rsidP="0095769B">
                        <w:pPr>
                          <w:keepNext/>
                          <w:keepLines/>
                          <w:spacing w:after="0"/>
                          <w:jc w:val="center"/>
                          <w:rPr>
                            <w:rFonts w:ascii="Arial" w:hAnsi="Arial"/>
                            <w:sz w:val="18"/>
                          </w:rPr>
                        </w:pPr>
                        <w:r w:rsidRPr="00176EEF">
                          <w:rPr>
                            <w:rFonts w:ascii="Arial" w:hAnsi="Arial"/>
                            <w:sz w:val="18"/>
                          </w:rPr>
                          <w:t>FR1 and FR2-1</w:t>
                        </w:r>
                      </w:p>
                    </w:tc>
                    <w:tc>
                      <w:tcPr>
                        <w:tcW w:w="4961" w:type="dxa"/>
                        <w:vMerge/>
                        <w:vAlign w:val="center"/>
                      </w:tcPr>
                      <w:p w14:paraId="5927FA55" w14:textId="77777777" w:rsidR="0095769B" w:rsidRPr="00176EEF" w:rsidRDefault="0095769B" w:rsidP="0095769B">
                        <w:pPr>
                          <w:spacing w:after="120"/>
                        </w:pPr>
                      </w:p>
                    </w:tc>
                  </w:tr>
                  <w:tr w:rsidR="0095769B" w:rsidRPr="00176EEF" w14:paraId="0D3404C3" w14:textId="77777777" w:rsidTr="00B07BD2">
                    <w:tc>
                      <w:tcPr>
                        <w:tcW w:w="2263" w:type="dxa"/>
                        <w:vAlign w:val="center"/>
                      </w:tcPr>
                      <w:p w14:paraId="4A092860" w14:textId="77777777" w:rsidR="0095769B" w:rsidRPr="00176EEF" w:rsidRDefault="0095769B" w:rsidP="0095769B">
                        <w:pPr>
                          <w:keepNext/>
                          <w:keepLines/>
                          <w:spacing w:after="0"/>
                          <w:jc w:val="center"/>
                          <w:rPr>
                            <w:rFonts w:ascii="Arial" w:hAnsi="Arial"/>
                            <w:sz w:val="18"/>
                          </w:rPr>
                        </w:pPr>
                        <w:r w:rsidRPr="00176EEF">
                          <w:rPr>
                            <w:rFonts w:ascii="Arial" w:hAnsi="Arial"/>
                            <w:sz w:val="18"/>
                          </w:rPr>
                          <w:t>Urban Micro/Dense -&gt; Urban Micro/Dense</w:t>
                        </w:r>
                      </w:p>
                      <w:p w14:paraId="5C5ED9FE" w14:textId="77777777" w:rsidR="0095769B" w:rsidRPr="00176EEF" w:rsidRDefault="0095769B" w:rsidP="0095769B">
                        <w:pPr>
                          <w:keepNext/>
                          <w:keepLines/>
                          <w:spacing w:after="0"/>
                          <w:jc w:val="center"/>
                          <w:rPr>
                            <w:rFonts w:ascii="Arial" w:hAnsi="Arial"/>
                            <w:sz w:val="18"/>
                          </w:rPr>
                        </w:pPr>
                        <w:r w:rsidRPr="00176EEF">
                          <w:rPr>
                            <w:rFonts w:ascii="Arial" w:hAnsi="Arial"/>
                            <w:sz w:val="18"/>
                          </w:rPr>
                          <w:t>Scenario 5 and</w:t>
                        </w:r>
                        <w:r w:rsidRPr="00176EEF">
                          <w:rPr>
                            <w:rFonts w:ascii="Arial" w:hAnsi="Arial"/>
                            <w:sz w:val="18"/>
                          </w:rPr>
                          <w:br/>
                          <w:t xml:space="preserve"> Scenario 8</w:t>
                        </w:r>
                      </w:p>
                    </w:tc>
                    <w:tc>
                      <w:tcPr>
                        <w:tcW w:w="2127" w:type="dxa"/>
                        <w:vAlign w:val="center"/>
                      </w:tcPr>
                      <w:p w14:paraId="3DDDCD6D" w14:textId="77777777" w:rsidR="0095769B" w:rsidRPr="00176EEF" w:rsidRDefault="0095769B" w:rsidP="0095769B">
                        <w:pPr>
                          <w:keepNext/>
                          <w:keepLines/>
                          <w:spacing w:after="0"/>
                          <w:jc w:val="center"/>
                          <w:rPr>
                            <w:rFonts w:ascii="Arial" w:hAnsi="Arial"/>
                            <w:sz w:val="18"/>
                          </w:rPr>
                        </w:pPr>
                        <w:r w:rsidRPr="00176EEF">
                          <w:rPr>
                            <w:rFonts w:ascii="Arial" w:hAnsi="Arial"/>
                            <w:sz w:val="18"/>
                          </w:rPr>
                          <w:t>FR1 and FR2-1</w:t>
                        </w:r>
                      </w:p>
                    </w:tc>
                    <w:tc>
                      <w:tcPr>
                        <w:tcW w:w="4961" w:type="dxa"/>
                        <w:vMerge/>
                        <w:vAlign w:val="center"/>
                      </w:tcPr>
                      <w:p w14:paraId="011E9483" w14:textId="77777777" w:rsidR="0095769B" w:rsidRPr="00176EEF" w:rsidRDefault="0095769B" w:rsidP="0095769B">
                        <w:pPr>
                          <w:spacing w:after="120"/>
                        </w:pPr>
                      </w:p>
                    </w:tc>
                  </w:tr>
                </w:tbl>
                <w:p w14:paraId="1FA775E6" w14:textId="77777777" w:rsidR="0095769B" w:rsidRDefault="0095769B" w:rsidP="0095769B">
                  <w:pPr>
                    <w:spacing w:after="120" w:line="259" w:lineRule="auto"/>
                  </w:pPr>
                </w:p>
              </w:tc>
            </w:tr>
          </w:tbl>
          <w:p w14:paraId="5DEF7979" w14:textId="0315401C" w:rsidR="001728C6" w:rsidRDefault="00857478" w:rsidP="0095769B">
            <w:pPr>
              <w:spacing w:after="120" w:line="259" w:lineRule="auto"/>
            </w:pPr>
            <w:r w:rsidRPr="0095769B">
              <w:lastRenderedPageBreak/>
              <w:t xml:space="preserve"> </w:t>
            </w:r>
          </w:p>
        </w:tc>
      </w:tr>
    </w:tbl>
    <w:p w14:paraId="1F805AD9" w14:textId="04FAF42E" w:rsidR="00CE7266" w:rsidRDefault="00CE7266" w:rsidP="009425F5">
      <w:pPr>
        <w:jc w:val="both"/>
      </w:pPr>
    </w:p>
    <w:p w14:paraId="1030DC7F" w14:textId="2E7C3678" w:rsidR="00D14F07" w:rsidRDefault="00FD6A95" w:rsidP="009425F5">
      <w:pPr>
        <w:jc w:val="both"/>
      </w:pPr>
      <w:r>
        <w:t xml:space="preserve">For the urban hotspot scenario, the </w:t>
      </w:r>
      <w:r w:rsidR="009D2F20">
        <w:t xml:space="preserve">observed throughput degradation </w:t>
      </w:r>
      <w:r w:rsidR="00DB4966">
        <w:t xml:space="preserve">is a resultant of several interference sources. </w:t>
      </w:r>
      <w:r w:rsidR="00B841B3">
        <w:t>One of those interference sources is coming from the</w:t>
      </w:r>
      <w:r w:rsidR="009D2F20">
        <w:t xml:space="preserve"> geographically close UEs such that one SBFD-aware UE within a cluster (i.e., inside a building or same conference room) might be transmitting in its UL subband to its serving SBFD-capable BS, while another TDD legacy UE is receiving its downlink transmission in a DL slot. </w:t>
      </w:r>
    </w:p>
    <w:p w14:paraId="79294D5E" w14:textId="159171F4" w:rsidR="003B64E8" w:rsidRPr="003B64E8" w:rsidRDefault="003B64E8" w:rsidP="009425F5">
      <w:pPr>
        <w:jc w:val="both"/>
        <w:rPr>
          <w:b/>
          <w:bCs/>
        </w:rPr>
      </w:pPr>
      <w:r w:rsidRPr="003B64E8">
        <w:rPr>
          <w:b/>
          <w:bCs/>
          <w:u w:val="single"/>
        </w:rPr>
        <w:t>Observation 1</w:t>
      </w:r>
      <w:r w:rsidRPr="003B64E8">
        <w:rPr>
          <w:b/>
          <w:bCs/>
        </w:rPr>
        <w:t xml:space="preserve">: </w:t>
      </w:r>
      <w:r>
        <w:rPr>
          <w:b/>
          <w:bCs/>
        </w:rPr>
        <w:t>One of the</w:t>
      </w:r>
      <w:r w:rsidRPr="003B64E8">
        <w:rPr>
          <w:b/>
          <w:bCs/>
        </w:rPr>
        <w:t xml:space="preserve"> interference source</w:t>
      </w:r>
      <w:r>
        <w:rPr>
          <w:b/>
          <w:bCs/>
        </w:rPr>
        <w:t>s</w:t>
      </w:r>
      <w:r w:rsidRPr="003B64E8">
        <w:rPr>
          <w:b/>
          <w:bCs/>
        </w:rPr>
        <w:t xml:space="preserve"> of the Urban Hotspot scenario is the inter-UE CLI from SBFD-aware UEs transmitting in the UL subband towards the adjacent legacy TDD UEs receiving DL transmissions. </w:t>
      </w:r>
    </w:p>
    <w:p w14:paraId="7B434F1B" w14:textId="7CE4260C" w:rsidR="005D4C8A" w:rsidRDefault="005D4C8A">
      <w:pPr>
        <w:pStyle w:val="Heading1"/>
      </w:pPr>
      <w:r>
        <w:t xml:space="preserve">Adjacent channel coexistence </w:t>
      </w:r>
      <w:r w:rsidR="00D14F07">
        <w:t xml:space="preserve">simulations </w:t>
      </w:r>
    </w:p>
    <w:p w14:paraId="03420D45" w14:textId="23DE002B" w:rsidR="00D14F07" w:rsidRDefault="00D14F07" w:rsidP="00D14F07">
      <w:pPr>
        <w:jc w:val="both"/>
      </w:pPr>
      <w:r>
        <w:t xml:space="preserve">The deployment scenario is the urban hotspot scenario, which is simply an urban macro scenario but instead of random UE deployment, it considers clustered UE deployment as given in </w:t>
      </w:r>
      <w:r w:rsidRPr="008A2559">
        <w:t>Table E.2.1-3</w:t>
      </w:r>
      <w:r>
        <w:t xml:space="preserve"> in TR 38.858. It is noteworthy that Annex E assumes that </w:t>
      </w:r>
      <w:r w:rsidR="009F08BD">
        <w:t>c</w:t>
      </w:r>
      <w:r w:rsidRPr="00621277">
        <w:t>ells fully or partly overlapping between the 2 networks share the same cluster</w:t>
      </w:r>
      <w:r>
        <w:t xml:space="preserve">. Thus, </w:t>
      </w:r>
      <w:r w:rsidR="009F08BD">
        <w:t xml:space="preserve">the </w:t>
      </w:r>
      <w:r>
        <w:t xml:space="preserve">aggressor UEs interfering on the geographically close victim UEs might have an impact on the throughput degradation of the victim legacy TDD network due to the inter-UE CLI. A visualization of such scenario is highlighted in Figure 1, where a single snapshot depicts the different scenarios that might lead to different interference statistics. </w:t>
      </w:r>
    </w:p>
    <w:p w14:paraId="1803CCD6" w14:textId="77777777" w:rsidR="00D14F07" w:rsidRDefault="00D14F07" w:rsidP="00D14F07">
      <w:pPr>
        <w:keepNext/>
        <w:jc w:val="center"/>
      </w:pPr>
      <w:r>
        <w:rPr>
          <w:noProof/>
        </w:rPr>
        <w:drawing>
          <wp:inline distT="0" distB="0" distL="0" distR="0" wp14:anchorId="4B6AF7D0" wp14:editId="07B83C87">
            <wp:extent cx="3487696" cy="1656391"/>
            <wp:effectExtent l="0" t="0" r="0" b="1270"/>
            <wp:docPr id="1283516075" name="Picture 1"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516075" name="Picture 1" descr="A screenshot of a video game&#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0909" cy="1662666"/>
                    </a:xfrm>
                    <a:prstGeom prst="rect">
                      <a:avLst/>
                    </a:prstGeom>
                    <a:noFill/>
                  </pic:spPr>
                </pic:pic>
              </a:graphicData>
            </a:graphic>
          </wp:inline>
        </w:drawing>
      </w:r>
    </w:p>
    <w:p w14:paraId="64D5ED22" w14:textId="5302C8FD" w:rsidR="00D14F07" w:rsidRDefault="00D14F07" w:rsidP="00D14F07">
      <w:pPr>
        <w:pStyle w:val="Caption"/>
        <w:jc w:val="center"/>
      </w:pPr>
      <w:r>
        <w:t xml:space="preserve">Figure </w:t>
      </w:r>
      <w:r>
        <w:fldChar w:fldCharType="begin"/>
      </w:r>
      <w:r>
        <w:instrText xml:space="preserve"> SEQ Figure \* ARABIC </w:instrText>
      </w:r>
      <w:r>
        <w:fldChar w:fldCharType="separate"/>
      </w:r>
      <w:r w:rsidR="00774AE7">
        <w:rPr>
          <w:noProof/>
        </w:rPr>
        <w:t>1</w:t>
      </w:r>
      <w:r>
        <w:fldChar w:fldCharType="end"/>
      </w:r>
      <w:r>
        <w:t xml:space="preserve"> Visualization of possible urban hotspot scenario for legacy TDD and SBFD deployments.</w:t>
      </w:r>
    </w:p>
    <w:p w14:paraId="7DF71574" w14:textId="77777777" w:rsidR="00D14F07" w:rsidRDefault="00D14F07" w:rsidP="00D14F07">
      <w:pPr>
        <w:jc w:val="both"/>
      </w:pPr>
      <w:r>
        <w:t xml:space="preserve">To consider scenarios where the inter-UE interference would be impactful, we have considered 0% GS between the victim and aggressor network, which means that the clusters between the victim and aggressor network are always shared. In our view, such an assumption aligns from what is given in Note 1 in Table E.2.1-3 as shown below and as shown in Figure 2. </w:t>
      </w:r>
    </w:p>
    <w:tbl>
      <w:tblPr>
        <w:tblStyle w:val="TableGrid"/>
        <w:tblW w:w="0" w:type="auto"/>
        <w:tblLook w:val="04A0" w:firstRow="1" w:lastRow="0" w:firstColumn="1" w:lastColumn="0" w:noHBand="0" w:noVBand="1"/>
      </w:tblPr>
      <w:tblGrid>
        <w:gridCol w:w="9962"/>
      </w:tblGrid>
      <w:tr w:rsidR="00D14F07" w14:paraId="0B66A85C" w14:textId="77777777" w:rsidTr="00B07BD2">
        <w:tc>
          <w:tcPr>
            <w:tcW w:w="9962" w:type="dxa"/>
          </w:tcPr>
          <w:p w14:paraId="0AFEF6C2" w14:textId="77777777" w:rsidR="00D14F07" w:rsidRDefault="00D14F07" w:rsidP="00B07BD2">
            <w:pPr>
              <w:pStyle w:val="TH"/>
            </w:pPr>
            <w:r>
              <w:lastRenderedPageBreak/>
              <w:t xml:space="preserve">Table E.2.1-3: Cluster-based UE dropping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934"/>
            </w:tblGrid>
            <w:tr w:rsidR="00D14F07" w14:paraId="6D7ED44B" w14:textId="77777777" w:rsidTr="00B07BD2">
              <w:trPr>
                <w:trHeight w:val="98"/>
                <w:tblHeader/>
                <w:jc w:val="center"/>
              </w:trPr>
              <w:tc>
                <w:tcPr>
                  <w:tcW w:w="0" w:type="auto"/>
                </w:tcPr>
                <w:p w14:paraId="724D2E71" w14:textId="77777777" w:rsidR="00D14F07" w:rsidRDefault="00D14F07" w:rsidP="00B07BD2">
                  <w:pPr>
                    <w:keepNext/>
                    <w:keepLines/>
                    <w:spacing w:after="0"/>
                    <w:jc w:val="center"/>
                    <w:rPr>
                      <w:rFonts w:ascii="Arial" w:hAnsi="Arial" w:cs="Arial"/>
                      <w:b/>
                      <w:sz w:val="16"/>
                      <w:szCs w:val="16"/>
                    </w:rPr>
                  </w:pPr>
                  <w:r>
                    <w:rPr>
                      <w:rFonts w:ascii="Arial" w:hAnsi="Arial" w:cs="Arial"/>
                      <w:b/>
                      <w:sz w:val="16"/>
                      <w:szCs w:val="16"/>
                    </w:rPr>
                    <w:t>Parameter</w:t>
                  </w:r>
                </w:p>
              </w:tc>
              <w:tc>
                <w:tcPr>
                  <w:tcW w:w="0" w:type="auto"/>
                  <w:shd w:val="clear" w:color="auto" w:fill="auto"/>
                </w:tcPr>
                <w:p w14:paraId="15FB8736" w14:textId="77777777" w:rsidR="00D14F07" w:rsidRDefault="00D14F07" w:rsidP="00B07BD2">
                  <w:pPr>
                    <w:keepNext/>
                    <w:keepLines/>
                    <w:spacing w:after="0"/>
                    <w:jc w:val="center"/>
                    <w:rPr>
                      <w:rFonts w:ascii="Arial" w:hAnsi="Arial" w:cs="Arial"/>
                      <w:b/>
                      <w:sz w:val="16"/>
                      <w:szCs w:val="16"/>
                    </w:rPr>
                  </w:pPr>
                  <w:r>
                    <w:rPr>
                      <w:rFonts w:ascii="Arial" w:hAnsi="Arial" w:cs="Arial"/>
                      <w:b/>
                      <w:sz w:val="16"/>
                      <w:szCs w:val="16"/>
                    </w:rPr>
                    <w:t>Urban Hotspot</w:t>
                  </w:r>
                </w:p>
              </w:tc>
            </w:tr>
            <w:tr w:rsidR="00D14F07" w14:paraId="579064F1" w14:textId="77777777" w:rsidTr="00B07BD2">
              <w:trPr>
                <w:trHeight w:val="98"/>
                <w:jc w:val="center"/>
              </w:trPr>
              <w:tc>
                <w:tcPr>
                  <w:tcW w:w="0" w:type="auto"/>
                </w:tcPr>
                <w:p w14:paraId="35A32B7F" w14:textId="77777777" w:rsidR="00D14F07" w:rsidRDefault="00D14F07" w:rsidP="00B07BD2">
                  <w:pPr>
                    <w:keepNext/>
                    <w:keepLines/>
                    <w:spacing w:after="0"/>
                    <w:jc w:val="center"/>
                    <w:rPr>
                      <w:rFonts w:ascii="Arial" w:hAnsi="Arial" w:cs="Arial"/>
                      <w:sz w:val="16"/>
                      <w:szCs w:val="16"/>
                      <w:lang w:eastAsia="zh-CN"/>
                    </w:rPr>
                  </w:pPr>
                  <w:r>
                    <w:rPr>
                      <w:rFonts w:ascii="Arial" w:hAnsi="Arial" w:cs="Arial"/>
                      <w:sz w:val="16"/>
                      <w:szCs w:val="16"/>
                      <w:lang w:eastAsia="zh-CN"/>
                    </w:rPr>
                    <w:t>Cluster number per macro cell</w:t>
                  </w:r>
                </w:p>
              </w:tc>
              <w:tc>
                <w:tcPr>
                  <w:tcW w:w="0" w:type="auto"/>
                  <w:shd w:val="clear" w:color="auto" w:fill="auto"/>
                </w:tcPr>
                <w:p w14:paraId="4FC8707E" w14:textId="77777777" w:rsidR="00D14F07" w:rsidRDefault="00D14F07" w:rsidP="00B07BD2">
                  <w:pPr>
                    <w:keepNext/>
                    <w:keepLines/>
                    <w:spacing w:after="0"/>
                    <w:jc w:val="center"/>
                    <w:rPr>
                      <w:rFonts w:ascii="Arial" w:hAnsi="Arial" w:cs="Arial"/>
                      <w:sz w:val="16"/>
                      <w:szCs w:val="16"/>
                      <w:lang w:eastAsia="zh-CN"/>
                    </w:rPr>
                  </w:pPr>
                  <w:r>
                    <w:rPr>
                      <w:rFonts w:ascii="Arial" w:hAnsi="Arial" w:cs="Arial"/>
                      <w:sz w:val="16"/>
                      <w:szCs w:val="16"/>
                      <w:lang w:eastAsia="zh-CN"/>
                    </w:rPr>
                    <w:t>1 (Note 1)</w:t>
                  </w:r>
                </w:p>
              </w:tc>
            </w:tr>
            <w:tr w:rsidR="00D14F07" w14:paraId="48F11B9F" w14:textId="77777777" w:rsidTr="00B07BD2">
              <w:trPr>
                <w:trHeight w:val="289"/>
                <w:jc w:val="center"/>
              </w:trPr>
              <w:tc>
                <w:tcPr>
                  <w:tcW w:w="0" w:type="auto"/>
                </w:tcPr>
                <w:p w14:paraId="597D6337" w14:textId="77777777" w:rsidR="00D14F07" w:rsidRDefault="00D14F07" w:rsidP="00B07BD2">
                  <w:pPr>
                    <w:keepNext/>
                    <w:keepLines/>
                    <w:spacing w:after="0"/>
                    <w:jc w:val="center"/>
                    <w:rPr>
                      <w:rFonts w:ascii="Arial" w:hAnsi="Arial" w:cs="Arial"/>
                      <w:sz w:val="16"/>
                      <w:szCs w:val="16"/>
                      <w:lang w:eastAsia="zh-CN"/>
                    </w:rPr>
                  </w:pPr>
                  <w:r>
                    <w:rPr>
                      <w:rFonts w:ascii="Arial" w:hAnsi="Arial" w:cs="Arial"/>
                      <w:sz w:val="16"/>
                      <w:szCs w:val="16"/>
                      <w:lang w:eastAsia="zh-CN"/>
                    </w:rPr>
                    <w:t>Cluster area</w:t>
                  </w:r>
                </w:p>
              </w:tc>
              <w:tc>
                <w:tcPr>
                  <w:tcW w:w="0" w:type="auto"/>
                  <w:shd w:val="clear" w:color="auto" w:fill="auto"/>
                </w:tcPr>
                <w:p w14:paraId="3A5423E0" w14:textId="77777777" w:rsidR="00D14F07" w:rsidRDefault="00D14F07" w:rsidP="00B07BD2">
                  <w:pPr>
                    <w:keepNext/>
                    <w:keepLines/>
                    <w:spacing w:after="0"/>
                    <w:jc w:val="center"/>
                    <w:rPr>
                      <w:rFonts w:ascii="Arial" w:hAnsi="Arial" w:cs="Arial"/>
                      <w:sz w:val="16"/>
                      <w:szCs w:val="16"/>
                      <w:lang w:eastAsia="zh-CN"/>
                    </w:rPr>
                  </w:pPr>
                  <w:r>
                    <w:rPr>
                      <w:rFonts w:ascii="Arial" w:hAnsi="Arial" w:cs="Arial"/>
                      <w:sz w:val="16"/>
                      <w:szCs w:val="16"/>
                      <w:lang w:eastAsia="zh-CN"/>
                    </w:rPr>
                    <w:t>Circular area with 25 m radius</w:t>
                  </w:r>
                </w:p>
              </w:tc>
            </w:tr>
            <w:tr w:rsidR="00D14F07" w14:paraId="4AB74CD5" w14:textId="77777777" w:rsidTr="00B07BD2">
              <w:trPr>
                <w:trHeight w:val="98"/>
                <w:jc w:val="center"/>
              </w:trPr>
              <w:tc>
                <w:tcPr>
                  <w:tcW w:w="0" w:type="auto"/>
                </w:tcPr>
                <w:p w14:paraId="64BD7508" w14:textId="77777777" w:rsidR="00D14F07" w:rsidRDefault="00D14F07" w:rsidP="00B07BD2">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0" w:type="auto"/>
                  <w:shd w:val="clear" w:color="auto" w:fill="auto"/>
                </w:tcPr>
                <w:p w14:paraId="533F9EAE" w14:textId="77777777" w:rsidR="00D14F07" w:rsidRDefault="00D14F07" w:rsidP="00B07BD2">
                  <w:pPr>
                    <w:keepNext/>
                    <w:keepLines/>
                    <w:spacing w:after="0"/>
                    <w:jc w:val="center"/>
                    <w:rPr>
                      <w:rFonts w:ascii="Arial" w:hAnsi="Arial" w:cs="Arial"/>
                      <w:sz w:val="16"/>
                      <w:szCs w:val="16"/>
                      <w:lang w:eastAsia="zh-CN"/>
                    </w:rPr>
                  </w:pPr>
                  <w:r>
                    <w:rPr>
                      <w:rFonts w:ascii="Arial" w:hAnsi="Arial" w:cs="Arial"/>
                      <w:sz w:val="16"/>
                      <w:szCs w:val="16"/>
                      <w:lang w:eastAsia="zh-CN"/>
                    </w:rPr>
                    <w:t>UEs dropped within a cluster are indoor and UEs dropped outside a cluster are outdoor</w:t>
                  </w:r>
                </w:p>
              </w:tc>
            </w:tr>
            <w:tr w:rsidR="00D14F07" w14:paraId="029D022E" w14:textId="77777777" w:rsidTr="00B07BD2">
              <w:trPr>
                <w:trHeight w:val="289"/>
                <w:jc w:val="center"/>
              </w:trPr>
              <w:tc>
                <w:tcPr>
                  <w:tcW w:w="0" w:type="auto"/>
                </w:tcPr>
                <w:p w14:paraId="750B5620" w14:textId="77777777" w:rsidR="00D14F07" w:rsidRDefault="00D14F07" w:rsidP="00B07BD2">
                  <w:pPr>
                    <w:keepNext/>
                    <w:keepLines/>
                    <w:spacing w:after="0"/>
                    <w:jc w:val="center"/>
                    <w:rPr>
                      <w:rFonts w:ascii="Arial" w:hAnsi="Arial" w:cs="Arial"/>
                      <w:sz w:val="16"/>
                      <w:szCs w:val="16"/>
                      <w:lang w:eastAsia="zh-CN"/>
                    </w:rPr>
                  </w:pPr>
                  <w:r>
                    <w:rPr>
                      <w:rFonts w:ascii="Arial" w:hAnsi="Arial" w:cs="Arial"/>
                      <w:sz w:val="16"/>
                      <w:szCs w:val="16"/>
                      <w:lang w:eastAsia="zh-CN"/>
                    </w:rPr>
                    <w:t>Indoor and outdoor ratio</w:t>
                  </w:r>
                </w:p>
              </w:tc>
              <w:tc>
                <w:tcPr>
                  <w:tcW w:w="0" w:type="auto"/>
                  <w:shd w:val="clear" w:color="auto" w:fill="auto"/>
                </w:tcPr>
                <w:p w14:paraId="4EF40628" w14:textId="77777777" w:rsidR="00D14F07" w:rsidRDefault="00D14F07" w:rsidP="00B07BD2">
                  <w:pPr>
                    <w:keepNext/>
                    <w:keepLines/>
                    <w:spacing w:after="0"/>
                    <w:jc w:val="center"/>
                    <w:rPr>
                      <w:rFonts w:ascii="Arial" w:hAnsi="Arial" w:cs="Arial"/>
                      <w:sz w:val="16"/>
                      <w:szCs w:val="16"/>
                      <w:lang w:eastAsia="zh-CN"/>
                    </w:rPr>
                  </w:pPr>
                  <w:r>
                    <w:rPr>
                      <w:rFonts w:ascii="Arial" w:hAnsi="Arial" w:cs="Arial"/>
                      <w:sz w:val="16"/>
                      <w:szCs w:val="16"/>
                      <w:lang w:eastAsia="zh-CN"/>
                    </w:rPr>
                    <w:t>80% indoor and 20% outdoor (Note 2)</w:t>
                  </w:r>
                </w:p>
              </w:tc>
            </w:tr>
            <w:tr w:rsidR="00D14F07" w14:paraId="750CF8A0" w14:textId="77777777" w:rsidTr="00B07BD2">
              <w:trPr>
                <w:trHeight w:val="289"/>
                <w:jc w:val="center"/>
              </w:trPr>
              <w:tc>
                <w:tcPr>
                  <w:tcW w:w="0" w:type="auto"/>
                </w:tcPr>
                <w:p w14:paraId="5C69436D" w14:textId="77777777" w:rsidR="00D14F07" w:rsidRDefault="00D14F07" w:rsidP="00B07BD2">
                  <w:pPr>
                    <w:keepNext/>
                    <w:keepLines/>
                    <w:spacing w:after="0"/>
                    <w:jc w:val="center"/>
                    <w:rPr>
                      <w:rFonts w:ascii="Arial" w:hAnsi="Arial" w:cs="Arial"/>
                      <w:sz w:val="16"/>
                      <w:szCs w:val="16"/>
                      <w:lang w:eastAsia="zh-CN"/>
                    </w:rPr>
                  </w:pPr>
                  <w:r>
                    <w:rPr>
                      <w:rFonts w:ascii="Arial" w:hAnsi="Arial" w:cs="Arial"/>
                      <w:sz w:val="16"/>
                      <w:szCs w:val="16"/>
                      <w:lang w:eastAsia="zh-CN"/>
                    </w:rPr>
                    <w:t>Minimum (2D) distance</w:t>
                  </w:r>
                </w:p>
              </w:tc>
              <w:tc>
                <w:tcPr>
                  <w:tcW w:w="0" w:type="auto"/>
                  <w:shd w:val="clear" w:color="auto" w:fill="auto"/>
                </w:tcPr>
                <w:p w14:paraId="4D4C8697" w14:textId="77777777" w:rsidR="00D14F07" w:rsidRDefault="00D14F07" w:rsidP="00B07BD2">
                  <w:pPr>
                    <w:keepNext/>
                    <w:keepLines/>
                    <w:spacing w:after="0"/>
                    <w:jc w:val="center"/>
                    <w:rPr>
                      <w:rFonts w:ascii="Arial" w:hAnsi="Arial" w:cs="Arial"/>
                      <w:sz w:val="16"/>
                      <w:szCs w:val="16"/>
                      <w:lang w:eastAsia="zh-CN"/>
                    </w:rPr>
                  </w:pPr>
                  <w:r>
                    <w:rPr>
                      <w:rFonts w:ascii="Arial" w:hAnsi="Arial" w:cs="Arial"/>
                      <w:sz w:val="16"/>
                      <w:szCs w:val="16"/>
                      <w:lang w:eastAsia="zh-CN"/>
                    </w:rPr>
                    <w:t>UE-UE: 1 m</w:t>
                  </w:r>
                </w:p>
                <w:p w14:paraId="0BD41F1B" w14:textId="77777777" w:rsidR="00D14F07" w:rsidRDefault="00D14F07" w:rsidP="00B07BD2">
                  <w:pPr>
                    <w:keepNext/>
                    <w:keepLines/>
                    <w:spacing w:after="0"/>
                    <w:jc w:val="center"/>
                    <w:rPr>
                      <w:rFonts w:ascii="Arial" w:hAnsi="Arial" w:cs="Arial"/>
                      <w:sz w:val="16"/>
                      <w:szCs w:val="16"/>
                      <w:lang w:eastAsia="zh-CN"/>
                    </w:rPr>
                  </w:pPr>
                  <w:r>
                    <w:rPr>
                      <w:rFonts w:ascii="Arial" w:hAnsi="Arial" w:cs="Arial"/>
                      <w:sz w:val="16"/>
                      <w:szCs w:val="16"/>
                      <w:lang w:eastAsia="zh-CN"/>
                    </w:rPr>
                    <w:t>Cluster center – cluster center: 50 m</w:t>
                  </w:r>
                </w:p>
                <w:p w14:paraId="63BA16E3" w14:textId="77777777" w:rsidR="00D14F07" w:rsidRDefault="00D14F07" w:rsidP="00B07BD2">
                  <w:pPr>
                    <w:keepNext/>
                    <w:keepLines/>
                    <w:spacing w:after="0"/>
                    <w:jc w:val="center"/>
                    <w:rPr>
                      <w:rFonts w:ascii="Arial" w:hAnsi="Arial" w:cs="Arial"/>
                      <w:sz w:val="16"/>
                      <w:szCs w:val="16"/>
                      <w:lang w:eastAsia="zh-CN"/>
                    </w:rPr>
                  </w:pPr>
                  <w:r>
                    <w:rPr>
                      <w:rFonts w:ascii="Arial" w:hAnsi="Arial" w:cs="Arial"/>
                      <w:sz w:val="16"/>
                      <w:szCs w:val="16"/>
                      <w:lang w:eastAsia="zh-CN"/>
                    </w:rPr>
                    <w:t>Macro BS – cluster center: 60 m (Note 3)</w:t>
                  </w:r>
                </w:p>
              </w:tc>
            </w:tr>
            <w:tr w:rsidR="00D14F07" w14:paraId="4682E5C5" w14:textId="77777777" w:rsidTr="00B07BD2">
              <w:trPr>
                <w:trHeight w:val="98"/>
                <w:jc w:val="center"/>
              </w:trPr>
              <w:tc>
                <w:tcPr>
                  <w:tcW w:w="0" w:type="auto"/>
                </w:tcPr>
                <w:p w14:paraId="0DAAFD20" w14:textId="77777777" w:rsidR="00D14F07" w:rsidRDefault="00D14F07" w:rsidP="00B07BD2">
                  <w:pPr>
                    <w:keepNext/>
                    <w:keepLines/>
                    <w:spacing w:after="0"/>
                    <w:jc w:val="center"/>
                    <w:rPr>
                      <w:rFonts w:ascii="Arial" w:hAnsi="Arial" w:cs="Arial"/>
                      <w:sz w:val="16"/>
                      <w:szCs w:val="16"/>
                      <w:lang w:eastAsia="zh-CN"/>
                    </w:rPr>
                  </w:pPr>
                  <w:r>
                    <w:rPr>
                      <w:rFonts w:ascii="Arial" w:hAnsi="Arial" w:cs="Arial"/>
                      <w:sz w:val="16"/>
                      <w:szCs w:val="16"/>
                      <w:lang w:eastAsia="zh-CN"/>
                    </w:rPr>
                    <w:t>UE dropping</w:t>
                  </w:r>
                </w:p>
              </w:tc>
              <w:tc>
                <w:tcPr>
                  <w:tcW w:w="0" w:type="auto"/>
                  <w:shd w:val="clear" w:color="auto" w:fill="auto"/>
                </w:tcPr>
                <w:p w14:paraId="73BD76C9" w14:textId="77777777" w:rsidR="00D14F07" w:rsidRDefault="00D14F07" w:rsidP="00B07BD2">
                  <w:pPr>
                    <w:keepNext/>
                    <w:keepLines/>
                    <w:spacing w:after="0"/>
                    <w:jc w:val="center"/>
                    <w:rPr>
                      <w:rFonts w:ascii="Arial" w:hAnsi="Arial" w:cs="Arial"/>
                      <w:sz w:val="16"/>
                      <w:szCs w:val="16"/>
                      <w:lang w:eastAsia="zh-CN"/>
                    </w:rPr>
                  </w:pPr>
                  <w:r>
                    <w:rPr>
                      <w:rFonts w:ascii="Arial" w:hAnsi="Arial" w:cs="Arial"/>
                      <w:sz w:val="16"/>
                      <w:szCs w:val="16"/>
                      <w:lang w:eastAsia="zh-CN"/>
                    </w:rPr>
                    <w:t>Evenly random dropping into the cluster with minimum UE-UE distance limitation</w:t>
                  </w:r>
                </w:p>
              </w:tc>
            </w:tr>
            <w:tr w:rsidR="00D14F07" w14:paraId="6CB84724" w14:textId="77777777" w:rsidTr="00B07BD2">
              <w:trPr>
                <w:trHeight w:val="98"/>
                <w:jc w:val="center"/>
              </w:trPr>
              <w:tc>
                <w:tcPr>
                  <w:tcW w:w="0" w:type="auto"/>
                  <w:gridSpan w:val="2"/>
                </w:tcPr>
                <w:p w14:paraId="26B58E02" w14:textId="77777777" w:rsidR="00D14F07" w:rsidRDefault="00D14F07" w:rsidP="00B07BD2">
                  <w:pPr>
                    <w:keepNext/>
                    <w:keepLines/>
                    <w:spacing w:after="0"/>
                    <w:rPr>
                      <w:rFonts w:ascii="Arial" w:hAnsi="Arial" w:cs="Arial"/>
                      <w:sz w:val="16"/>
                      <w:szCs w:val="16"/>
                      <w:lang w:eastAsia="zh-CN"/>
                    </w:rPr>
                  </w:pPr>
                  <w:r w:rsidRPr="00A94F5E">
                    <w:rPr>
                      <w:rFonts w:ascii="Arial" w:hAnsi="Arial" w:cs="Arial"/>
                      <w:sz w:val="16"/>
                      <w:szCs w:val="16"/>
                      <w:highlight w:val="yellow"/>
                      <w:lang w:eastAsia="zh-CN"/>
                    </w:rPr>
                    <w:t>Note 1: Cells fully or partly overlapping between the 2 networks share the same cluster.</w:t>
                  </w:r>
                </w:p>
                <w:p w14:paraId="1E15BB98" w14:textId="77777777" w:rsidR="00D14F07" w:rsidRDefault="00D14F07" w:rsidP="00B07BD2">
                  <w:pPr>
                    <w:keepNext/>
                    <w:keepLines/>
                    <w:spacing w:after="0"/>
                    <w:rPr>
                      <w:rFonts w:ascii="Arial" w:hAnsi="Arial" w:cs="Arial"/>
                      <w:sz w:val="16"/>
                      <w:szCs w:val="16"/>
                      <w:lang w:eastAsia="zh-CN"/>
                    </w:rPr>
                  </w:pPr>
                  <w:r>
                    <w:rPr>
                      <w:rFonts w:ascii="Arial" w:hAnsi="Arial" w:cs="Arial"/>
                      <w:sz w:val="16"/>
                      <w:szCs w:val="16"/>
                      <w:lang w:eastAsia="zh-CN"/>
                    </w:rPr>
                    <w:t>Note 2: O-to-I penetration losses are not calculated for pairs of indoor UEs deployed in the same cluster area. For pairs of indoor UEs in different cluster areas, a single penetration loss component is calculated.</w:t>
                  </w:r>
                </w:p>
                <w:p w14:paraId="42CA7A07" w14:textId="77777777" w:rsidR="00D14F07" w:rsidRDefault="00D14F07" w:rsidP="00B07BD2">
                  <w:pPr>
                    <w:keepNext/>
                    <w:keepLines/>
                    <w:spacing w:after="0"/>
                    <w:rPr>
                      <w:rFonts w:ascii="Arial" w:hAnsi="Arial" w:cs="Arial"/>
                      <w:sz w:val="16"/>
                      <w:szCs w:val="16"/>
                      <w:lang w:eastAsia="zh-CN"/>
                    </w:rPr>
                  </w:pPr>
                  <w:r>
                    <w:rPr>
                      <w:rFonts w:ascii="Arial" w:hAnsi="Arial" w:cs="Arial"/>
                      <w:sz w:val="16"/>
                      <w:szCs w:val="16"/>
                      <w:lang w:eastAsia="zh-CN"/>
                    </w:rPr>
                    <w:t xml:space="preserve">Note 3: Consider the hexagonal grid of one of the two operators as the reference when dropping the cluster. The minimum distance between </w:t>
                  </w:r>
                  <w:proofErr w:type="gramStart"/>
                  <w:r>
                    <w:rPr>
                      <w:rFonts w:ascii="Arial" w:hAnsi="Arial" w:cs="Arial"/>
                      <w:sz w:val="16"/>
                      <w:szCs w:val="16"/>
                      <w:lang w:eastAsia="zh-CN"/>
                    </w:rPr>
                    <w:t>macro BS</w:t>
                  </w:r>
                  <w:proofErr w:type="gramEnd"/>
                  <w:r>
                    <w:rPr>
                      <w:rFonts w:ascii="Arial" w:hAnsi="Arial" w:cs="Arial"/>
                      <w:sz w:val="16"/>
                      <w:szCs w:val="16"/>
                      <w:lang w:eastAsia="zh-CN"/>
                    </w:rPr>
                    <w:t xml:space="preserve"> to cluster </w:t>
                  </w:r>
                  <w:proofErr w:type="spellStart"/>
                  <w:r>
                    <w:rPr>
                      <w:rFonts w:ascii="Arial" w:hAnsi="Arial" w:cs="Arial"/>
                      <w:sz w:val="16"/>
                      <w:szCs w:val="16"/>
                      <w:lang w:eastAsia="zh-CN"/>
                    </w:rPr>
                    <w:t>centre</w:t>
                  </w:r>
                  <w:proofErr w:type="spellEnd"/>
                  <w:r>
                    <w:rPr>
                      <w:rFonts w:ascii="Arial" w:hAnsi="Arial" w:cs="Arial"/>
                      <w:sz w:val="16"/>
                      <w:szCs w:val="16"/>
                      <w:lang w:eastAsia="zh-CN"/>
                    </w:rPr>
                    <w:t xml:space="preserve"> should be respected also for BSs belonging to the other operator</w:t>
                  </w:r>
                </w:p>
              </w:tc>
            </w:tr>
          </w:tbl>
          <w:p w14:paraId="748E1FCB" w14:textId="77777777" w:rsidR="00D14F07" w:rsidRDefault="00D14F07" w:rsidP="00B07BD2"/>
        </w:tc>
      </w:tr>
    </w:tbl>
    <w:p w14:paraId="7C557D67" w14:textId="77777777" w:rsidR="00D14F07" w:rsidRDefault="00D14F07" w:rsidP="00D14F07">
      <w:pPr>
        <w:jc w:val="both"/>
      </w:pPr>
    </w:p>
    <w:p w14:paraId="76B8CA28" w14:textId="2C8C3F35" w:rsidR="00D14F07" w:rsidRPr="00B94D37" w:rsidRDefault="00D14F07" w:rsidP="00D14F07">
      <w:pPr>
        <w:jc w:val="both"/>
        <w:rPr>
          <w:b/>
          <w:bCs/>
        </w:rPr>
      </w:pPr>
      <w:r w:rsidRPr="00E30B13">
        <w:rPr>
          <w:b/>
          <w:bCs/>
          <w:u w:val="single"/>
        </w:rPr>
        <w:t xml:space="preserve">Observation </w:t>
      </w:r>
      <w:r w:rsidR="00DB55BC">
        <w:rPr>
          <w:b/>
          <w:bCs/>
          <w:u w:val="single"/>
        </w:rPr>
        <w:t>2</w:t>
      </w:r>
      <w:r w:rsidRPr="00B94D37">
        <w:rPr>
          <w:b/>
          <w:bCs/>
        </w:rPr>
        <w:t>: To investigate the inter-UE CLI case in a</w:t>
      </w:r>
      <w:r w:rsidR="00DB55BC">
        <w:rPr>
          <w:b/>
          <w:bCs/>
        </w:rPr>
        <w:t xml:space="preserve">n extreme </w:t>
      </w:r>
      <w:r w:rsidRPr="00B94D37">
        <w:rPr>
          <w:b/>
          <w:bCs/>
        </w:rPr>
        <w:t>scenario, we consider each victim shares the cluster, in which UEs are dropped, with an aggressor cell</w:t>
      </w:r>
      <w:r w:rsidR="00DB55BC">
        <w:rPr>
          <w:b/>
          <w:bCs/>
        </w:rPr>
        <w:t>.</w:t>
      </w:r>
    </w:p>
    <w:tbl>
      <w:tblPr>
        <w:tblStyle w:val="TableGrid"/>
        <w:tblW w:w="0" w:type="auto"/>
        <w:tblLook w:val="04A0" w:firstRow="1" w:lastRow="0" w:firstColumn="1" w:lastColumn="0" w:noHBand="0" w:noVBand="1"/>
      </w:tblPr>
      <w:tblGrid>
        <w:gridCol w:w="3320"/>
        <w:gridCol w:w="3321"/>
        <w:gridCol w:w="3321"/>
      </w:tblGrid>
      <w:tr w:rsidR="00D14F07" w14:paraId="2D61CD97" w14:textId="77777777" w:rsidTr="00B07BD2">
        <w:tc>
          <w:tcPr>
            <w:tcW w:w="3320" w:type="dxa"/>
          </w:tcPr>
          <w:p w14:paraId="2A30568C" w14:textId="77777777" w:rsidR="00D14F07" w:rsidRDefault="00D14F07" w:rsidP="00B07BD2">
            <w:r w:rsidRPr="00E343B7">
              <w:rPr>
                <w:noProof/>
              </w:rPr>
              <w:drawing>
                <wp:inline distT="0" distB="0" distL="0" distR="0" wp14:anchorId="7C93710D" wp14:editId="41F6C29C">
                  <wp:extent cx="1891121" cy="1755719"/>
                  <wp:effectExtent l="0" t="0" r="0" b="0"/>
                  <wp:docPr id="90023079" name="Picture 1" descr="A graph of a hexagon with numbers and 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23079" name="Picture 1" descr="A graph of a hexagon with numbers and red arrows&#10;&#10;AI-generated content may be incorrect."/>
                          <pic:cNvPicPr/>
                        </pic:nvPicPr>
                        <pic:blipFill>
                          <a:blip r:embed="rId11"/>
                          <a:stretch>
                            <a:fillRect/>
                          </a:stretch>
                        </pic:blipFill>
                        <pic:spPr>
                          <a:xfrm>
                            <a:off x="0" y="0"/>
                            <a:ext cx="1900215" cy="1764162"/>
                          </a:xfrm>
                          <a:prstGeom prst="rect">
                            <a:avLst/>
                          </a:prstGeom>
                        </pic:spPr>
                      </pic:pic>
                    </a:graphicData>
                  </a:graphic>
                </wp:inline>
              </w:drawing>
            </w:r>
          </w:p>
        </w:tc>
        <w:tc>
          <w:tcPr>
            <w:tcW w:w="3321" w:type="dxa"/>
          </w:tcPr>
          <w:p w14:paraId="1B74EFA2" w14:textId="77777777" w:rsidR="00D14F07" w:rsidRDefault="00D14F07" w:rsidP="00B07BD2">
            <w:r w:rsidRPr="00990871">
              <w:rPr>
                <w:noProof/>
              </w:rPr>
              <w:drawing>
                <wp:inline distT="0" distB="0" distL="0" distR="0" wp14:anchorId="1ED24ED5" wp14:editId="38E64702">
                  <wp:extent cx="1797680" cy="1750060"/>
                  <wp:effectExtent l="0" t="0" r="0" b="2540"/>
                  <wp:docPr id="290092441" name="Picture 1" descr="A grid of hexagons with black and red tri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92441" name="Picture 1" descr="A grid of hexagons with black and red triangles&#10;&#10;AI-generated content may be incorrect."/>
                          <pic:cNvPicPr/>
                        </pic:nvPicPr>
                        <pic:blipFill>
                          <a:blip r:embed="rId12"/>
                          <a:stretch>
                            <a:fillRect/>
                          </a:stretch>
                        </pic:blipFill>
                        <pic:spPr>
                          <a:xfrm>
                            <a:off x="0" y="0"/>
                            <a:ext cx="1818097" cy="1769936"/>
                          </a:xfrm>
                          <a:prstGeom prst="rect">
                            <a:avLst/>
                          </a:prstGeom>
                        </pic:spPr>
                      </pic:pic>
                    </a:graphicData>
                  </a:graphic>
                </wp:inline>
              </w:drawing>
            </w:r>
          </w:p>
        </w:tc>
        <w:tc>
          <w:tcPr>
            <w:tcW w:w="3321" w:type="dxa"/>
          </w:tcPr>
          <w:p w14:paraId="7019EB39" w14:textId="77777777" w:rsidR="00D14F07" w:rsidRDefault="00D14F07" w:rsidP="00B07BD2">
            <w:pPr>
              <w:keepNext/>
            </w:pPr>
            <w:r w:rsidRPr="007E782E">
              <w:rPr>
                <w:noProof/>
              </w:rPr>
              <w:drawing>
                <wp:inline distT="0" distB="0" distL="0" distR="0" wp14:anchorId="45078AA6" wp14:editId="753EDD2F">
                  <wp:extent cx="1844703" cy="1750541"/>
                  <wp:effectExtent l="0" t="0" r="3175" b="2540"/>
                  <wp:docPr id="1644568799" name="Picture 1" descr="A graph of a gri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568799" name="Picture 1" descr="A graph of a grid&#10;&#10;AI-generated content may be incorrect."/>
                          <pic:cNvPicPr/>
                        </pic:nvPicPr>
                        <pic:blipFill>
                          <a:blip r:embed="rId13"/>
                          <a:stretch>
                            <a:fillRect/>
                          </a:stretch>
                        </pic:blipFill>
                        <pic:spPr>
                          <a:xfrm>
                            <a:off x="0" y="0"/>
                            <a:ext cx="1848158" cy="1753820"/>
                          </a:xfrm>
                          <a:prstGeom prst="rect">
                            <a:avLst/>
                          </a:prstGeom>
                        </pic:spPr>
                      </pic:pic>
                    </a:graphicData>
                  </a:graphic>
                </wp:inline>
              </w:drawing>
            </w:r>
          </w:p>
        </w:tc>
      </w:tr>
    </w:tbl>
    <w:p w14:paraId="1C18D247" w14:textId="4D107E1C" w:rsidR="00D14F07" w:rsidRDefault="00D14F07" w:rsidP="00D14F07">
      <w:pPr>
        <w:pStyle w:val="Caption"/>
        <w:jc w:val="center"/>
      </w:pPr>
      <w:r>
        <w:t xml:space="preserve">Figure </w:t>
      </w:r>
      <w:r>
        <w:fldChar w:fldCharType="begin"/>
      </w:r>
      <w:r>
        <w:instrText xml:space="preserve"> SEQ Figure \* ARABIC </w:instrText>
      </w:r>
      <w:r>
        <w:fldChar w:fldCharType="separate"/>
      </w:r>
      <w:r w:rsidR="00774AE7">
        <w:rPr>
          <w:noProof/>
        </w:rPr>
        <w:t>2</w:t>
      </w:r>
      <w:r>
        <w:fldChar w:fldCharType="end"/>
      </w:r>
      <w:r>
        <w:t xml:space="preserve"> Victim and aggressor deployments with different grid shift values.</w:t>
      </w:r>
    </w:p>
    <w:p w14:paraId="7F47BF03" w14:textId="77777777" w:rsidR="00D14F07" w:rsidRDefault="00D14F07" w:rsidP="00D14F07">
      <w:r>
        <w:t xml:space="preserve">In our simulation, we have aligned with Annex E assumptions with the following aspects being highlighted: </w:t>
      </w:r>
    </w:p>
    <w:p w14:paraId="7E77D264" w14:textId="77777777" w:rsidR="00D14F07" w:rsidRPr="003C5520" w:rsidRDefault="00D14F07" w:rsidP="00D14F07">
      <w:pPr>
        <w:pStyle w:val="ListParagraph"/>
        <w:numPr>
          <w:ilvl w:val="0"/>
          <w:numId w:val="35"/>
        </w:numPr>
        <w:rPr>
          <w:rFonts w:ascii="Times New Roman" w:hAnsi="Times New Roman"/>
          <w:sz w:val="20"/>
          <w:szCs w:val="20"/>
        </w:rPr>
      </w:pPr>
      <w:r w:rsidRPr="003C5520">
        <w:rPr>
          <w:rFonts w:ascii="Times New Roman" w:hAnsi="Times New Roman"/>
          <w:sz w:val="20"/>
          <w:szCs w:val="20"/>
        </w:rPr>
        <w:t xml:space="preserve">100 MHz TDD legacy network while DU SBFD aggressor network with 80 MHz and 20 MHz for downlink and uplink subband respectively. </w:t>
      </w:r>
    </w:p>
    <w:p w14:paraId="55CF53B8" w14:textId="77777777" w:rsidR="00D14F07" w:rsidRPr="003C5520" w:rsidRDefault="00D14F07" w:rsidP="00D14F07">
      <w:pPr>
        <w:pStyle w:val="ListParagraph"/>
        <w:numPr>
          <w:ilvl w:val="0"/>
          <w:numId w:val="35"/>
        </w:numPr>
        <w:rPr>
          <w:rFonts w:ascii="Times New Roman" w:hAnsi="Times New Roman"/>
          <w:sz w:val="20"/>
          <w:szCs w:val="20"/>
        </w:rPr>
      </w:pPr>
      <w:r w:rsidRPr="003C5520">
        <w:rPr>
          <w:rFonts w:ascii="Times New Roman" w:hAnsi="Times New Roman"/>
          <w:sz w:val="20"/>
          <w:szCs w:val="20"/>
        </w:rPr>
        <w:t xml:space="preserve">UE power class 3 (i.e., UE maximum conducted power = 23 dBm). </w:t>
      </w:r>
    </w:p>
    <w:p w14:paraId="0DCB8A65" w14:textId="77777777" w:rsidR="00D84EC8" w:rsidRPr="00D84EC8" w:rsidRDefault="00D14F07" w:rsidP="00D14F07">
      <w:pPr>
        <w:pStyle w:val="ListParagraph"/>
        <w:numPr>
          <w:ilvl w:val="0"/>
          <w:numId w:val="35"/>
        </w:numPr>
        <w:rPr>
          <w:rFonts w:ascii="Times New Roman" w:hAnsi="Times New Roman"/>
          <w:sz w:val="20"/>
          <w:szCs w:val="20"/>
        </w:rPr>
      </w:pPr>
      <w:r w:rsidRPr="003C5520">
        <w:rPr>
          <w:rFonts w:ascii="Times New Roman" w:hAnsi="Times New Roman"/>
          <w:sz w:val="20"/>
          <w:szCs w:val="20"/>
        </w:rPr>
        <w:t xml:space="preserve">Flat ACIR model such that </w:t>
      </w:r>
      <w:r w:rsidR="00D84EC8" w:rsidRPr="00D84EC8">
        <w:rPr>
          <w:rFonts w:ascii="Times New Roman" w:hAnsi="Times New Roman"/>
          <w:sz w:val="20"/>
          <w:szCs w:val="20"/>
        </w:rPr>
        <w:t>BS ACLR/ACS = 45/46 dB &amp; UE ACLR/ACS = 30/33 dB</w:t>
      </w:r>
    </w:p>
    <w:p w14:paraId="54890248" w14:textId="77777777" w:rsidR="00D14F07" w:rsidRPr="003C5520" w:rsidRDefault="00D14F07" w:rsidP="00D14F07">
      <w:pPr>
        <w:pStyle w:val="ListParagraph"/>
        <w:numPr>
          <w:ilvl w:val="0"/>
          <w:numId w:val="35"/>
        </w:numPr>
        <w:rPr>
          <w:rFonts w:ascii="Times New Roman" w:hAnsi="Times New Roman"/>
          <w:sz w:val="20"/>
          <w:szCs w:val="20"/>
        </w:rPr>
      </w:pPr>
      <w:r w:rsidRPr="003C5520">
        <w:rPr>
          <w:rFonts w:ascii="Times New Roman" w:hAnsi="Times New Roman"/>
          <w:sz w:val="20"/>
          <w:szCs w:val="20"/>
        </w:rPr>
        <w:t xml:space="preserve">80% of dropped UEs are indoor and dropped within the cluster. </w:t>
      </w:r>
    </w:p>
    <w:p w14:paraId="272969D6" w14:textId="77777777" w:rsidR="00D14F07" w:rsidRPr="003C5520" w:rsidRDefault="00D14F07" w:rsidP="00D14F07">
      <w:pPr>
        <w:pStyle w:val="ListParagraph"/>
        <w:numPr>
          <w:ilvl w:val="0"/>
          <w:numId w:val="35"/>
        </w:numPr>
        <w:rPr>
          <w:rFonts w:ascii="Times New Roman" w:hAnsi="Times New Roman"/>
          <w:sz w:val="20"/>
          <w:szCs w:val="20"/>
        </w:rPr>
      </w:pPr>
      <w:r w:rsidRPr="003C5520">
        <w:rPr>
          <w:rFonts w:ascii="Times New Roman" w:hAnsi="Times New Roman"/>
          <w:sz w:val="20"/>
          <w:szCs w:val="20"/>
        </w:rPr>
        <w:t xml:space="preserve">No Penetration loss modeled between UEs within the same cluster or outdoor UEs. </w:t>
      </w:r>
    </w:p>
    <w:p w14:paraId="395F93E9" w14:textId="1583AAEF" w:rsidR="00AE3BAA" w:rsidRDefault="00D14F07" w:rsidP="00D14F07">
      <w:r>
        <w:br/>
      </w:r>
      <w:r w:rsidR="00AE3BAA">
        <w:t xml:space="preserve">Before discussing the results, it is important to note several aspects that have </w:t>
      </w:r>
      <w:r w:rsidR="00BD4F45">
        <w:t>an impact</w:t>
      </w:r>
      <w:r w:rsidR="00AE3BAA">
        <w:t xml:space="preserve"> on the results. </w:t>
      </w:r>
      <w:r w:rsidR="00BD4F45">
        <w:t>First</w:t>
      </w:r>
      <w:r w:rsidR="00AE3BAA">
        <w:t xml:space="preserve">, Annex E in TR 38.858 assumes that </w:t>
      </w:r>
      <w:r w:rsidR="0049552F">
        <w:t xml:space="preserve">victim and aggressor cells share the same cluster if their geographical hexagonal boundaries cross. Moreover, no penetration loss is assumed between the UEs </w:t>
      </w:r>
      <w:r w:rsidR="00C95428">
        <w:t>falling</w:t>
      </w:r>
      <w:r w:rsidR="0049552F">
        <w:t xml:space="preserve"> within a cluster. Such a pessimistic assumption might lead to overestimation of the interference, </w:t>
      </w:r>
      <w:r w:rsidR="006B5FF6">
        <w:t>since</w:t>
      </w:r>
      <w:r w:rsidR="00BD4F45">
        <w:t xml:space="preserve"> there</w:t>
      </w:r>
      <w:r w:rsidR="0049552F">
        <w:t xml:space="preserve"> will be additional losses due to walls</w:t>
      </w:r>
      <w:r w:rsidR="00BD4F45">
        <w:t xml:space="preserve"> or UEs being scheduled that </w:t>
      </w:r>
      <w:r w:rsidR="00BD16E3">
        <w:t>are in</w:t>
      </w:r>
      <w:r w:rsidR="00BD4F45">
        <w:t xml:space="preserve"> different </w:t>
      </w:r>
      <w:r w:rsidR="00EA57C6">
        <w:t xml:space="preserve">rooms/ </w:t>
      </w:r>
      <w:r w:rsidR="00BD4F45">
        <w:t xml:space="preserve">floors. </w:t>
      </w:r>
    </w:p>
    <w:p w14:paraId="5F674049" w14:textId="4BCD9095" w:rsidR="003766F4" w:rsidRDefault="006B5FF6" w:rsidP="00D14F07">
      <w:pPr>
        <w:rPr>
          <w:b/>
          <w:bCs/>
        </w:rPr>
      </w:pPr>
      <w:r w:rsidRPr="00EA57C6">
        <w:rPr>
          <w:b/>
          <w:bCs/>
          <w:u w:val="single"/>
        </w:rPr>
        <w:t>Observation</w:t>
      </w:r>
      <w:r w:rsidR="0089420C">
        <w:rPr>
          <w:b/>
          <w:bCs/>
          <w:u w:val="single"/>
        </w:rPr>
        <w:t xml:space="preserve"> 3</w:t>
      </w:r>
      <w:r w:rsidRPr="00EA57C6">
        <w:rPr>
          <w:b/>
          <w:bCs/>
          <w:u w:val="single"/>
        </w:rPr>
        <w:t>:</w:t>
      </w:r>
      <w:r w:rsidRPr="00EA57C6">
        <w:rPr>
          <w:b/>
          <w:bCs/>
        </w:rPr>
        <w:t xml:space="preserve"> </w:t>
      </w:r>
      <w:r w:rsidR="003766F4">
        <w:rPr>
          <w:b/>
          <w:bCs/>
        </w:rPr>
        <w:t>Based on Annex E assumptions,</w:t>
      </w:r>
      <w:r w:rsidRPr="00EA57C6">
        <w:rPr>
          <w:b/>
          <w:bCs/>
        </w:rPr>
        <w:t xml:space="preserve"> UEs falling in the same cluster will not experience any penetration losses, which </w:t>
      </w:r>
      <w:r w:rsidR="00F3474E">
        <w:rPr>
          <w:b/>
          <w:bCs/>
        </w:rPr>
        <w:t xml:space="preserve">ignores the fact </w:t>
      </w:r>
      <w:r w:rsidRPr="00EA57C6">
        <w:rPr>
          <w:b/>
          <w:bCs/>
        </w:rPr>
        <w:t xml:space="preserve">that there might be additional losses due to wall penetration or UEs scheduled being in different </w:t>
      </w:r>
      <w:r w:rsidR="00EA57C6" w:rsidRPr="00EA57C6">
        <w:rPr>
          <w:b/>
          <w:bCs/>
        </w:rPr>
        <w:t xml:space="preserve">rooms/ floors. </w:t>
      </w:r>
    </w:p>
    <w:p w14:paraId="74EDCF88" w14:textId="3B626150" w:rsidR="008A7E2D" w:rsidRDefault="00996B95" w:rsidP="00D14F07">
      <w:r>
        <w:t xml:space="preserve">Another </w:t>
      </w:r>
      <w:r w:rsidR="00AC28AC">
        <w:t xml:space="preserve">important factor impacting the inter-UE CLI interference is the aggressor UE </w:t>
      </w:r>
      <w:r w:rsidR="00A22CD2">
        <w:t xml:space="preserve">ACLR and victim UE ACS. </w:t>
      </w:r>
      <w:r w:rsidR="00434EC0">
        <w:t xml:space="preserve">For the baseline case, we assume flat ACIR model adopting the minimum RAN4 RF requirements given in TS 38.104 and TS 38.101-1 for the BS and UE, respectively. </w:t>
      </w:r>
      <w:r w:rsidR="00D203B6">
        <w:t xml:space="preserve">This was considered as a worst-case assuming DU SBFD configuration. It is viable to consider DUD SBFD configuration as a more practical </w:t>
      </w:r>
      <w:r w:rsidR="009E3B70">
        <w:t xml:space="preserve">option, especially where there is an adjacent TDD network </w:t>
      </w:r>
      <w:r w:rsidR="009E3B70">
        <w:lastRenderedPageBreak/>
        <w:t xml:space="preserve">deployed. In that case, the flat ACIR model with legacy RAN4 requirements </w:t>
      </w:r>
      <w:r w:rsidR="007D706C">
        <w:t xml:space="preserve">is unrealistic and yields over-estimated adjacent channel interference. </w:t>
      </w:r>
      <w:r w:rsidR="00F3474E">
        <w:t xml:space="preserve">More analysis of different ACLR/ACS/ACIR models is given in section 4.2. </w:t>
      </w:r>
    </w:p>
    <w:p w14:paraId="2C971977" w14:textId="517F76A2" w:rsidR="00C565F2" w:rsidRPr="006D5601" w:rsidRDefault="00C565F2" w:rsidP="00D14F07">
      <w:pPr>
        <w:rPr>
          <w:b/>
          <w:bCs/>
        </w:rPr>
      </w:pPr>
      <w:r w:rsidRPr="00F3474E">
        <w:rPr>
          <w:b/>
          <w:bCs/>
          <w:u w:val="single"/>
        </w:rPr>
        <w:t>Observation</w:t>
      </w:r>
      <w:r w:rsidR="00F3474E" w:rsidRPr="00F3474E">
        <w:rPr>
          <w:b/>
          <w:bCs/>
          <w:u w:val="single"/>
        </w:rPr>
        <w:t xml:space="preserve"> 4</w:t>
      </w:r>
      <w:r w:rsidRPr="006D5601">
        <w:rPr>
          <w:b/>
          <w:bCs/>
        </w:rPr>
        <w:t xml:space="preserve">: Flat ACIR model with minimum RF requirements for UE ACLR/ACS </w:t>
      </w:r>
      <w:r w:rsidR="0082301F" w:rsidRPr="006D5601">
        <w:rPr>
          <w:b/>
          <w:bCs/>
        </w:rPr>
        <w:t xml:space="preserve">can lead to </w:t>
      </w:r>
      <w:r w:rsidR="006D5601" w:rsidRPr="006D5601">
        <w:rPr>
          <w:b/>
          <w:bCs/>
        </w:rPr>
        <w:t xml:space="preserve">over-estimation of the inter-UE CLI. </w:t>
      </w:r>
    </w:p>
    <w:p w14:paraId="7ACDFCDF" w14:textId="3F3AFE71" w:rsidR="00D14F07" w:rsidRDefault="00D14F07" w:rsidP="00D14F07">
      <w:r>
        <w:t xml:space="preserve">In </w:t>
      </w:r>
      <w:r w:rsidR="008F16D3">
        <w:t xml:space="preserve">Figure 3, the CDF of the throughput </w:t>
      </w:r>
      <w:r w:rsidR="00404A37">
        <w:t xml:space="preserve">(considering intra-cell and inter-cell interference) </w:t>
      </w:r>
      <w:r w:rsidR="008F16D3">
        <w:t>for the urban hotspot scenario assuming the abovementioned parameters</w:t>
      </w:r>
      <w:r w:rsidR="009B66E4">
        <w:t xml:space="preserve"> for the case of having a legacy TDD DL in the adjacent channel (red curve) and SBFD in the adjacent channel (black curve). It can be observed that </w:t>
      </w:r>
      <w:r w:rsidR="00404A37">
        <w:t xml:space="preserve">the impact of inter-UE CLI is observed leading to a lower </w:t>
      </w:r>
      <w:r w:rsidR="00152B25">
        <w:t xml:space="preserve">achieved throughput by the victim network. </w:t>
      </w:r>
    </w:p>
    <w:p w14:paraId="377AB061" w14:textId="77777777" w:rsidR="00A70AC5" w:rsidRDefault="00A70AC5" w:rsidP="00A70AC5">
      <w:pPr>
        <w:keepNext/>
        <w:jc w:val="center"/>
      </w:pPr>
      <w:r w:rsidRPr="00417DD6">
        <w:rPr>
          <w:noProof/>
        </w:rPr>
        <w:drawing>
          <wp:inline distT="0" distB="0" distL="0" distR="0" wp14:anchorId="778E9CB8" wp14:editId="351F3DB3">
            <wp:extent cx="3309038" cy="2346085"/>
            <wp:effectExtent l="0" t="0" r="5715" b="0"/>
            <wp:docPr id="24" name="Picture 23">
              <a:extLst xmlns:a="http://schemas.openxmlformats.org/drawingml/2006/main">
                <a:ext uri="{FF2B5EF4-FFF2-40B4-BE49-F238E27FC236}">
                  <a16:creationId xmlns:a16="http://schemas.microsoft.com/office/drawing/2014/main" id="{C1B5F8B2-A8FD-FA2C-AB04-40336E6B2B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C1B5F8B2-A8FD-FA2C-AB04-40336E6B2B33}"/>
                        </a:ext>
                      </a:extLst>
                    </pic:cNvPr>
                    <pic:cNvPicPr>
                      <a:picLocks noChangeAspect="1"/>
                    </pic:cNvPicPr>
                  </pic:nvPicPr>
                  <pic:blipFill rotWithShape="1">
                    <a:blip r:embed="rId14"/>
                    <a:srcRect l="3151" t="5459" r="8299"/>
                    <a:stretch>
                      <a:fillRect/>
                    </a:stretch>
                  </pic:blipFill>
                  <pic:spPr bwMode="auto">
                    <a:xfrm>
                      <a:off x="0" y="0"/>
                      <a:ext cx="3315636" cy="2350763"/>
                    </a:xfrm>
                    <a:prstGeom prst="rect">
                      <a:avLst/>
                    </a:prstGeom>
                    <a:ln>
                      <a:noFill/>
                    </a:ln>
                    <a:extLst>
                      <a:ext uri="{53640926-AAD7-44D8-BBD7-CCE9431645EC}">
                        <a14:shadowObscured xmlns:a14="http://schemas.microsoft.com/office/drawing/2010/main"/>
                      </a:ext>
                    </a:extLst>
                  </pic:spPr>
                </pic:pic>
              </a:graphicData>
            </a:graphic>
          </wp:inline>
        </w:drawing>
      </w:r>
    </w:p>
    <w:p w14:paraId="38693749" w14:textId="16D90603" w:rsidR="00A70AC5" w:rsidRDefault="00A70AC5" w:rsidP="00A70AC5">
      <w:pPr>
        <w:pStyle w:val="Caption"/>
        <w:jc w:val="center"/>
      </w:pPr>
      <w:r>
        <w:t xml:space="preserve">Figure </w:t>
      </w:r>
      <w:r>
        <w:fldChar w:fldCharType="begin"/>
      </w:r>
      <w:r>
        <w:instrText xml:space="preserve"> SEQ Figure \* ARABIC </w:instrText>
      </w:r>
      <w:r>
        <w:fldChar w:fldCharType="separate"/>
      </w:r>
      <w:r w:rsidR="00774AE7">
        <w:rPr>
          <w:noProof/>
        </w:rPr>
        <w:t>3</w:t>
      </w:r>
      <w:r>
        <w:fldChar w:fldCharType="end"/>
      </w:r>
      <w:r w:rsidRPr="002919EE">
        <w:t xml:space="preserve"> </w:t>
      </w:r>
      <w:r>
        <w:t>Throughput CDF investigating legacy and SBFD deployments.</w:t>
      </w:r>
    </w:p>
    <w:p w14:paraId="0C5B979C" w14:textId="25B3B234" w:rsidR="002E6A21" w:rsidRPr="002E6A21" w:rsidRDefault="002E6A21" w:rsidP="00D14F07">
      <w:pPr>
        <w:rPr>
          <w:b/>
          <w:bCs/>
        </w:rPr>
      </w:pPr>
      <w:r w:rsidRPr="002E6A21">
        <w:rPr>
          <w:b/>
          <w:bCs/>
          <w:u w:val="single"/>
        </w:rPr>
        <w:t xml:space="preserve">Observation </w:t>
      </w:r>
      <w:r w:rsidR="00B91542">
        <w:rPr>
          <w:b/>
          <w:bCs/>
          <w:u w:val="single"/>
        </w:rPr>
        <w:t>5</w:t>
      </w:r>
      <w:r w:rsidRPr="002E6A21">
        <w:rPr>
          <w:b/>
          <w:bCs/>
        </w:rPr>
        <w:t xml:space="preserve">: Based on assumptions given in Annex E TR 38.858, along with flat baseline ACLR/ACS </w:t>
      </w:r>
      <w:r w:rsidR="00615BD9">
        <w:rPr>
          <w:b/>
          <w:bCs/>
        </w:rPr>
        <w:t xml:space="preserve">with minimum RF requirements, no penetration loss between UEs in the same cluster </w:t>
      </w:r>
      <w:r w:rsidRPr="002E6A21">
        <w:rPr>
          <w:b/>
          <w:bCs/>
        </w:rPr>
        <w:t xml:space="preserve">and 0 % grid shift, we have observed throughput loss due to inter-UE CLI when SBFD is operating in the adjacent channel. </w:t>
      </w:r>
    </w:p>
    <w:p w14:paraId="2DAD3A95" w14:textId="645E6532" w:rsidR="00C23D0A" w:rsidRDefault="00C23D0A" w:rsidP="00D14F07">
      <w:r>
        <w:t xml:space="preserve">To further investigate the impact of the underlying assumptions on the </w:t>
      </w:r>
      <w:r w:rsidR="00552E52">
        <w:t>experienced adjacent channel interference,</w:t>
      </w:r>
      <w:r>
        <w:t xml:space="preserve"> we investigate the </w:t>
      </w:r>
      <w:r w:rsidR="0013444E">
        <w:t xml:space="preserve">impact of UE clustering and indoor % on the victim TDD network throughput. On the left figure, the </w:t>
      </w:r>
      <w:r w:rsidR="00552E52">
        <w:t xml:space="preserve">case if victim and aggressor </w:t>
      </w:r>
      <w:r w:rsidR="00F81059">
        <w:t>are deployed in different clusters</w:t>
      </w:r>
      <w:r w:rsidR="00595627">
        <w:t xml:space="preserve">. As observed, if we deploy victim and aggressor UEs in different clusters, the </w:t>
      </w:r>
      <w:r w:rsidR="002D34F9">
        <w:t xml:space="preserve">inter-UE interference is negligible. </w:t>
      </w:r>
      <w:r w:rsidR="0005738D">
        <w:t xml:space="preserve">The figure on the right considers </w:t>
      </w:r>
      <w:r w:rsidR="00F81059">
        <w:t xml:space="preserve">the case if they are deployed in the same cluster but with different indoor </w:t>
      </w:r>
      <w:r w:rsidR="001C303C">
        <w:t>ratios</w:t>
      </w:r>
      <w:r w:rsidR="00F81059">
        <w:t xml:space="preserve"> (i.e.,</w:t>
      </w:r>
      <w:r w:rsidR="001C303C">
        <w:t xml:space="preserve"> percentage</w:t>
      </w:r>
      <w:r w:rsidR="00F81059">
        <w:t xml:space="preserve"> of UEs falling within the cluster</w:t>
      </w:r>
      <w:proofErr w:type="gramStart"/>
      <w:r w:rsidR="00F81059">
        <w:t>).</w:t>
      </w:r>
      <w:r w:rsidR="0005738D">
        <w:t>W</w:t>
      </w:r>
      <w:r w:rsidR="00825EA8">
        <w:t>e</w:t>
      </w:r>
      <w:proofErr w:type="gramEnd"/>
      <w:r w:rsidR="00825EA8">
        <w:t xml:space="preserve"> observe the throughput for different indoor </w:t>
      </w:r>
      <w:r w:rsidR="001C303C">
        <w:t>percentages</w:t>
      </w:r>
      <w:r w:rsidR="00825EA8">
        <w:t xml:space="preserve"> assumptions and as expected, the </w:t>
      </w:r>
      <w:r w:rsidR="001C303C">
        <w:t>as the indoor percentage is lower,</w:t>
      </w:r>
      <w:r w:rsidR="00825EA8">
        <w:t xml:space="preserve"> </w:t>
      </w:r>
      <w:r w:rsidR="001C303C">
        <w:t xml:space="preserve">the </w:t>
      </w:r>
      <w:r w:rsidR="00825EA8">
        <w:t>probability that UEs would fall in the same cluster</w:t>
      </w:r>
      <w:r w:rsidR="001C303C">
        <w:t xml:space="preserve"> is lower. This </w:t>
      </w:r>
      <w:r w:rsidR="00256638">
        <w:t>leads to</w:t>
      </w:r>
      <w:r w:rsidR="00825EA8">
        <w:t xml:space="preserve"> lower inter-UE CLI, and thus higher throughput. </w:t>
      </w:r>
      <w:r w:rsidR="00A61564">
        <w:t>The objective of this figure to showcase the sensitivity of the final perceived throughput to the underlying assumptions.</w:t>
      </w:r>
    </w:p>
    <w:p w14:paraId="45E787BC" w14:textId="222A0424" w:rsidR="0005738D" w:rsidRPr="0005738D" w:rsidRDefault="0005738D" w:rsidP="00D14F07">
      <w:pPr>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7"/>
        <w:gridCol w:w="4895"/>
      </w:tblGrid>
      <w:tr w:rsidR="00FA1853" w:rsidRPr="009A5FD4" w14:paraId="0FE90508" w14:textId="77777777" w:rsidTr="00341C42">
        <w:tc>
          <w:tcPr>
            <w:tcW w:w="4981" w:type="dxa"/>
          </w:tcPr>
          <w:p w14:paraId="2E2D507E" w14:textId="2E47E43C" w:rsidR="00E9475D" w:rsidRPr="009A5FD4" w:rsidRDefault="00FA1853" w:rsidP="00D14F07">
            <w:pPr>
              <w:rPr>
                <w:lang w:val="de-DE"/>
              </w:rPr>
            </w:pPr>
            <w:r w:rsidRPr="00FA1853">
              <w:rPr>
                <w:noProof/>
              </w:rPr>
              <w:drawing>
                <wp:inline distT="0" distB="0" distL="0" distR="0" wp14:anchorId="170B941C" wp14:editId="1F34E1DD">
                  <wp:extent cx="3365607" cy="1855871"/>
                  <wp:effectExtent l="0" t="0" r="0" b="0"/>
                  <wp:docPr id="16" name="Picture 15">
                    <a:extLst xmlns:a="http://schemas.openxmlformats.org/drawingml/2006/main">
                      <a:ext uri="{FF2B5EF4-FFF2-40B4-BE49-F238E27FC236}">
                        <a16:creationId xmlns:a16="http://schemas.microsoft.com/office/drawing/2014/main" id="{2256B652-A522-0DCB-C202-CD17B24A1C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2256B652-A522-0DCB-C202-CD17B24A1CA3}"/>
                              </a:ext>
                            </a:extLst>
                          </pic:cNvPr>
                          <pic:cNvPicPr>
                            <a:picLocks noChangeAspect="1"/>
                          </pic:cNvPicPr>
                        </pic:nvPicPr>
                        <pic:blipFill>
                          <a:blip r:embed="rId15"/>
                          <a:stretch>
                            <a:fillRect/>
                          </a:stretch>
                        </pic:blipFill>
                        <pic:spPr>
                          <a:xfrm>
                            <a:off x="0" y="0"/>
                            <a:ext cx="3382369" cy="1865114"/>
                          </a:xfrm>
                          <a:prstGeom prst="rect">
                            <a:avLst/>
                          </a:prstGeom>
                        </pic:spPr>
                      </pic:pic>
                    </a:graphicData>
                  </a:graphic>
                </wp:inline>
              </w:drawing>
            </w:r>
          </w:p>
        </w:tc>
        <w:tc>
          <w:tcPr>
            <w:tcW w:w="4981" w:type="dxa"/>
          </w:tcPr>
          <w:p w14:paraId="1B75C3E6" w14:textId="0C02ABF9" w:rsidR="00E9475D" w:rsidRPr="009A5FD4" w:rsidRDefault="00341C42" w:rsidP="00341C42">
            <w:pPr>
              <w:keepNext/>
              <w:rPr>
                <w:lang w:val="de-DE"/>
              </w:rPr>
            </w:pPr>
            <w:r w:rsidRPr="00341C42">
              <w:rPr>
                <w:noProof/>
              </w:rPr>
              <w:drawing>
                <wp:inline distT="0" distB="0" distL="0" distR="0" wp14:anchorId="5D8C19CA" wp14:editId="167A107E">
                  <wp:extent cx="3239653" cy="1859280"/>
                  <wp:effectExtent l="0" t="0" r="0" b="7620"/>
                  <wp:docPr id="20" name="Picture 19">
                    <a:extLst xmlns:a="http://schemas.openxmlformats.org/drawingml/2006/main">
                      <a:ext uri="{FF2B5EF4-FFF2-40B4-BE49-F238E27FC236}">
                        <a16:creationId xmlns:a16="http://schemas.microsoft.com/office/drawing/2014/main" id="{90011F91-21D5-4E76-4B4B-F7DA48A4B1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90011F91-21D5-4E76-4B4B-F7DA48A4B1FD}"/>
                              </a:ext>
                            </a:extLst>
                          </pic:cNvPr>
                          <pic:cNvPicPr>
                            <a:picLocks noChangeAspect="1"/>
                          </pic:cNvPicPr>
                        </pic:nvPicPr>
                        <pic:blipFill>
                          <a:blip r:embed="rId16"/>
                          <a:stretch>
                            <a:fillRect/>
                          </a:stretch>
                        </pic:blipFill>
                        <pic:spPr>
                          <a:xfrm>
                            <a:off x="0" y="0"/>
                            <a:ext cx="3272802" cy="1878305"/>
                          </a:xfrm>
                          <a:prstGeom prst="rect">
                            <a:avLst/>
                          </a:prstGeom>
                        </pic:spPr>
                      </pic:pic>
                    </a:graphicData>
                  </a:graphic>
                </wp:inline>
              </w:drawing>
            </w:r>
          </w:p>
        </w:tc>
      </w:tr>
    </w:tbl>
    <w:p w14:paraId="518554EB" w14:textId="5A69C059" w:rsidR="00E9475D" w:rsidRDefault="00341C42" w:rsidP="00341C42">
      <w:pPr>
        <w:pStyle w:val="Caption"/>
        <w:jc w:val="center"/>
      </w:pPr>
      <w:r>
        <w:lastRenderedPageBreak/>
        <w:t xml:space="preserve">Figure </w:t>
      </w:r>
      <w:r>
        <w:fldChar w:fldCharType="begin"/>
      </w:r>
      <w:r>
        <w:instrText xml:space="preserve"> SEQ Figure \* ARABIC </w:instrText>
      </w:r>
      <w:r>
        <w:fldChar w:fldCharType="separate"/>
      </w:r>
      <w:r w:rsidR="00774AE7">
        <w:rPr>
          <w:noProof/>
        </w:rPr>
        <w:t>4</w:t>
      </w:r>
      <w:r>
        <w:fldChar w:fldCharType="end"/>
      </w:r>
      <w:r>
        <w:t xml:space="preserve"> Impact of clustering and indoor % on system performance</w:t>
      </w:r>
    </w:p>
    <w:p w14:paraId="1B918538" w14:textId="38B07BED" w:rsidR="00490108" w:rsidRPr="00490108" w:rsidRDefault="00490108" w:rsidP="00490108">
      <w:r w:rsidRPr="00B91542">
        <w:rPr>
          <w:b/>
          <w:bCs/>
          <w:u w:val="single"/>
        </w:rPr>
        <w:t>Observation 6</w:t>
      </w:r>
      <w:r w:rsidRPr="0005738D">
        <w:rPr>
          <w:b/>
          <w:bCs/>
        </w:rPr>
        <w:t>: The throughput degradation due to inter-UE CLI is sensitive to the UE deployment and clustering assumption as well as the % of UEs that are dropped indoor/ within a cluster.</w:t>
      </w:r>
    </w:p>
    <w:p w14:paraId="23728325" w14:textId="59C86F0E" w:rsidR="001F48E2" w:rsidRDefault="001F48E2">
      <w:pPr>
        <w:pStyle w:val="Heading1"/>
      </w:pPr>
      <w:r>
        <w:t xml:space="preserve">Solutions to address the inter-UE CLI issue </w:t>
      </w:r>
    </w:p>
    <w:p w14:paraId="72AE11D1" w14:textId="53FBEA51" w:rsidR="001F48E2" w:rsidRDefault="001F48E2" w:rsidP="001F48E2">
      <w:pPr>
        <w:rPr>
          <w:lang w:val="en-GB"/>
        </w:rPr>
      </w:pPr>
      <w:r>
        <w:rPr>
          <w:lang w:val="en-GB"/>
        </w:rPr>
        <w:t>In [2], RAN4 had lengthy discussions on possible solutions to address the inter-UE CLI issue observed in urban hotspot deployments for FR1. TO summarize, RAN4 agreed on the following [2]:</w:t>
      </w:r>
    </w:p>
    <w:tbl>
      <w:tblPr>
        <w:tblStyle w:val="TableGrid"/>
        <w:tblW w:w="0" w:type="auto"/>
        <w:tblLook w:val="04A0" w:firstRow="1" w:lastRow="0" w:firstColumn="1" w:lastColumn="0" w:noHBand="0" w:noVBand="1"/>
      </w:tblPr>
      <w:tblGrid>
        <w:gridCol w:w="9962"/>
      </w:tblGrid>
      <w:tr w:rsidR="001F48E2" w14:paraId="034DCDC8" w14:textId="77777777">
        <w:tc>
          <w:tcPr>
            <w:tcW w:w="9962" w:type="dxa"/>
          </w:tcPr>
          <w:p w14:paraId="2D0DACD1" w14:textId="77777777" w:rsidR="00E60BD3" w:rsidRPr="00E60BD3" w:rsidRDefault="00E60BD3" w:rsidP="00E60BD3">
            <w:pPr>
              <w:pStyle w:val="ListParagraph"/>
              <w:numPr>
                <w:ilvl w:val="0"/>
                <w:numId w:val="30"/>
              </w:numPr>
              <w:spacing w:after="120" w:line="259" w:lineRule="auto"/>
              <w:rPr>
                <w:rFonts w:ascii="Times New Roman" w:hAnsi="Times New Roman"/>
                <w:sz w:val="20"/>
                <w:szCs w:val="20"/>
              </w:rPr>
            </w:pPr>
            <w:r w:rsidRPr="00E60BD3">
              <w:rPr>
                <w:rFonts w:ascii="Times New Roman" w:hAnsi="Times New Roman"/>
                <w:sz w:val="20"/>
                <w:szCs w:val="20"/>
              </w:rPr>
              <w:t xml:space="preserve">Solution-1: Reduced p-max for SBFD-aware UE TX power by X </w:t>
            </w:r>
            <w:proofErr w:type="spellStart"/>
            <w:r w:rsidRPr="00E60BD3">
              <w:rPr>
                <w:rFonts w:ascii="Times New Roman" w:hAnsi="Times New Roman"/>
                <w:sz w:val="20"/>
                <w:szCs w:val="20"/>
              </w:rPr>
              <w:t>dB.</w:t>
            </w:r>
            <w:proofErr w:type="spellEnd"/>
            <w:r w:rsidRPr="00E60BD3">
              <w:rPr>
                <w:rFonts w:ascii="Times New Roman" w:hAnsi="Times New Roman"/>
                <w:sz w:val="20"/>
                <w:szCs w:val="20"/>
              </w:rPr>
              <w:t xml:space="preserve"> </w:t>
            </w:r>
          </w:p>
          <w:p w14:paraId="00ABA49F" w14:textId="77777777" w:rsidR="00E60BD3" w:rsidRPr="00E60BD3" w:rsidRDefault="00E60BD3" w:rsidP="00E60BD3">
            <w:pPr>
              <w:pStyle w:val="ListParagraph"/>
              <w:numPr>
                <w:ilvl w:val="1"/>
                <w:numId w:val="30"/>
              </w:numPr>
              <w:spacing w:after="120" w:line="259" w:lineRule="auto"/>
              <w:rPr>
                <w:rFonts w:ascii="Times New Roman" w:hAnsi="Times New Roman"/>
                <w:sz w:val="20"/>
                <w:szCs w:val="20"/>
              </w:rPr>
            </w:pPr>
            <w:r w:rsidRPr="00E60BD3">
              <w:rPr>
                <w:rFonts w:ascii="Times New Roman" w:eastAsiaTheme="minorEastAsia" w:hAnsi="Times New Roman"/>
                <w:sz w:val="20"/>
                <w:szCs w:val="20"/>
              </w:rPr>
              <w:t xml:space="preserve">the reduced p-max is configurable per-UE </w:t>
            </w:r>
          </w:p>
          <w:p w14:paraId="53D7214E" w14:textId="77777777" w:rsidR="00E60BD3" w:rsidRPr="00E60BD3" w:rsidRDefault="00E60BD3" w:rsidP="00E60BD3">
            <w:pPr>
              <w:pStyle w:val="ListParagraph"/>
              <w:numPr>
                <w:ilvl w:val="1"/>
                <w:numId w:val="30"/>
              </w:numPr>
              <w:spacing w:after="120" w:line="259" w:lineRule="auto"/>
              <w:rPr>
                <w:rFonts w:ascii="Times New Roman" w:hAnsi="Times New Roman"/>
                <w:sz w:val="20"/>
                <w:szCs w:val="20"/>
              </w:rPr>
            </w:pPr>
            <w:r w:rsidRPr="00E60BD3">
              <w:rPr>
                <w:rFonts w:ascii="Times New Roman" w:eastAsiaTheme="minorEastAsia" w:hAnsi="Times New Roman"/>
                <w:sz w:val="20"/>
                <w:szCs w:val="20"/>
              </w:rPr>
              <w:t>FFS X dB is a single value or a configurable value or a configurable range</w:t>
            </w:r>
          </w:p>
          <w:p w14:paraId="7F259A5B" w14:textId="77777777" w:rsidR="00E60BD3" w:rsidRPr="00E60BD3" w:rsidRDefault="00E60BD3" w:rsidP="00E60BD3">
            <w:pPr>
              <w:pStyle w:val="ListParagraph"/>
              <w:numPr>
                <w:ilvl w:val="0"/>
                <w:numId w:val="30"/>
              </w:numPr>
              <w:spacing w:after="120" w:line="259" w:lineRule="auto"/>
              <w:rPr>
                <w:rFonts w:ascii="Times New Roman" w:hAnsi="Times New Roman"/>
                <w:sz w:val="20"/>
                <w:szCs w:val="20"/>
              </w:rPr>
            </w:pPr>
            <w:r w:rsidRPr="00E60BD3">
              <w:rPr>
                <w:rFonts w:ascii="Times New Roman" w:hAnsi="Times New Roman"/>
                <w:sz w:val="20"/>
                <w:szCs w:val="20"/>
              </w:rPr>
              <w:t>Solution-2: SBFD configuration is set by using DUD (40%, 20%, 40%), or DU (by putting UL subband away from victim channel)</w:t>
            </w:r>
          </w:p>
          <w:p w14:paraId="609F8560" w14:textId="77777777" w:rsidR="00E60BD3" w:rsidRPr="00E60BD3" w:rsidRDefault="00E60BD3" w:rsidP="00E60BD3">
            <w:pPr>
              <w:pStyle w:val="ListParagraph"/>
              <w:numPr>
                <w:ilvl w:val="0"/>
                <w:numId w:val="30"/>
              </w:numPr>
              <w:spacing w:after="120" w:line="259" w:lineRule="auto"/>
              <w:rPr>
                <w:rFonts w:ascii="Times New Roman" w:hAnsi="Times New Roman"/>
                <w:sz w:val="20"/>
                <w:szCs w:val="20"/>
              </w:rPr>
            </w:pPr>
            <w:r w:rsidRPr="00E60BD3">
              <w:rPr>
                <w:rFonts w:ascii="Times New Roman" w:hAnsi="Times New Roman"/>
                <w:sz w:val="20"/>
                <w:szCs w:val="20"/>
              </w:rPr>
              <w:t>Solution</w:t>
            </w:r>
            <w:r w:rsidRPr="00E60BD3">
              <w:rPr>
                <w:rFonts w:ascii="Times New Roman" w:eastAsiaTheme="minorEastAsia" w:hAnsi="Times New Roman"/>
                <w:sz w:val="20"/>
                <w:szCs w:val="20"/>
              </w:rPr>
              <w:t xml:space="preserve">-3: Avoid scheduling the aggressor UE, up to BS implementation.  </w:t>
            </w:r>
          </w:p>
          <w:p w14:paraId="62CC9880" w14:textId="77777777" w:rsidR="00E60BD3" w:rsidRPr="00E60BD3" w:rsidRDefault="00E60BD3" w:rsidP="00E60BD3">
            <w:pPr>
              <w:pStyle w:val="ListParagraph"/>
              <w:numPr>
                <w:ilvl w:val="0"/>
                <w:numId w:val="30"/>
              </w:numPr>
              <w:spacing w:after="120" w:line="259" w:lineRule="auto"/>
              <w:rPr>
                <w:rFonts w:ascii="Times New Roman" w:hAnsi="Times New Roman"/>
                <w:sz w:val="20"/>
                <w:szCs w:val="20"/>
              </w:rPr>
            </w:pPr>
            <w:r w:rsidRPr="00E60BD3">
              <w:rPr>
                <w:rFonts w:ascii="Times New Roman" w:hAnsi="Times New Roman"/>
                <w:sz w:val="20"/>
                <w:szCs w:val="20"/>
              </w:rPr>
              <w:t>Solution</w:t>
            </w:r>
            <w:r w:rsidRPr="00E60BD3">
              <w:rPr>
                <w:rFonts w:ascii="Times New Roman" w:eastAsiaTheme="minorEastAsia" w:hAnsi="Times New Roman"/>
                <w:sz w:val="20"/>
                <w:szCs w:val="20"/>
              </w:rPr>
              <w:t xml:space="preserve">-4: Configure the aggressor UE fallback to TDD operation, up to BS implementation.  </w:t>
            </w:r>
          </w:p>
          <w:p w14:paraId="27FF2C28" w14:textId="6ACCF68C" w:rsidR="001F48E2" w:rsidRPr="00E60BD3" w:rsidRDefault="00E60BD3" w:rsidP="00E60BD3">
            <w:pPr>
              <w:pStyle w:val="ListParagraph"/>
              <w:numPr>
                <w:ilvl w:val="0"/>
                <w:numId w:val="30"/>
              </w:numPr>
              <w:spacing w:after="120" w:line="259" w:lineRule="auto"/>
            </w:pPr>
            <w:r w:rsidRPr="00E60BD3">
              <w:rPr>
                <w:rFonts w:ascii="Times New Roman" w:eastAsiaTheme="minorEastAsia" w:hAnsi="Times New Roman"/>
                <w:sz w:val="20"/>
                <w:szCs w:val="20"/>
              </w:rPr>
              <w:t xml:space="preserve">Other new </w:t>
            </w:r>
            <w:r w:rsidRPr="00E60BD3">
              <w:rPr>
                <w:rFonts w:ascii="Times New Roman" w:hAnsi="Times New Roman"/>
                <w:sz w:val="20"/>
                <w:szCs w:val="20"/>
              </w:rPr>
              <w:t>solutions (including the combination of the above-mentioned solutions)</w:t>
            </w:r>
            <w:r w:rsidRPr="00E60BD3">
              <w:rPr>
                <w:rFonts w:ascii="Times New Roman" w:eastAsiaTheme="minorEastAsia" w:hAnsi="Times New Roman"/>
                <w:sz w:val="20"/>
                <w:szCs w:val="20"/>
              </w:rPr>
              <w:t xml:space="preserve"> are encouraged to be provided, if any.</w:t>
            </w:r>
            <w:r w:rsidRPr="00E60BD3">
              <w:rPr>
                <w:rFonts w:eastAsiaTheme="minorEastAsia"/>
                <w:sz w:val="20"/>
                <w:szCs w:val="20"/>
              </w:rPr>
              <w:t xml:space="preserve"> </w:t>
            </w:r>
          </w:p>
        </w:tc>
      </w:tr>
    </w:tbl>
    <w:p w14:paraId="2F3977DB" w14:textId="77777777" w:rsidR="001F48E2" w:rsidRPr="001F48E2" w:rsidRDefault="001F48E2" w:rsidP="001F48E2">
      <w:pPr>
        <w:rPr>
          <w:lang w:val="en-GB"/>
        </w:rPr>
      </w:pPr>
    </w:p>
    <w:p w14:paraId="39AFCCB4" w14:textId="49972A38" w:rsidR="00D47B19" w:rsidRDefault="00D47B19" w:rsidP="00D47B19">
      <w:pPr>
        <w:pStyle w:val="Heading2"/>
      </w:pPr>
      <w:r>
        <w:t>Solution 1: Reduced p-</w:t>
      </w:r>
      <w:r w:rsidR="00472240">
        <w:t>M</w:t>
      </w:r>
      <w:r>
        <w:t>ax for SBFD-aware UE Tx power</w:t>
      </w:r>
    </w:p>
    <w:p w14:paraId="22A31D84" w14:textId="067CF458" w:rsidR="0022108A" w:rsidRDefault="004C227D" w:rsidP="00D47B19">
      <w:pPr>
        <w:rPr>
          <w:lang w:val="en-GB"/>
        </w:rPr>
      </w:pPr>
      <w:r>
        <w:rPr>
          <w:lang w:val="en-GB"/>
        </w:rPr>
        <w:t xml:space="preserve">This solution aims to </w:t>
      </w:r>
      <w:r w:rsidR="001A1DF3">
        <w:rPr>
          <w:lang w:val="en-GB"/>
        </w:rPr>
        <w:t xml:space="preserve">address the inter-UE CLI issue by reducing the SBFD-aware UE </w:t>
      </w:r>
      <w:r w:rsidR="009C17AC">
        <w:rPr>
          <w:lang w:val="en-GB"/>
        </w:rPr>
        <w:t xml:space="preserve">p-Max </w:t>
      </w:r>
      <w:r w:rsidR="006F4861">
        <w:rPr>
          <w:lang w:val="en-GB"/>
        </w:rPr>
        <w:t>via</w:t>
      </w:r>
      <w:r w:rsidR="001A1DF3">
        <w:rPr>
          <w:lang w:val="en-GB"/>
        </w:rPr>
        <w:t xml:space="preserve"> a newly introduced maximum power reduction parameter, X, that is given in </w:t>
      </w:r>
      <w:proofErr w:type="spellStart"/>
      <w:r w:rsidR="001A1DF3">
        <w:rPr>
          <w:lang w:val="en-GB"/>
        </w:rPr>
        <w:t>dB.</w:t>
      </w:r>
      <w:proofErr w:type="spellEnd"/>
      <w:r w:rsidR="001A1DF3">
        <w:rPr>
          <w:lang w:val="en-GB"/>
        </w:rPr>
        <w:t xml:space="preserve"> </w:t>
      </w:r>
      <w:r w:rsidR="009C3FB6">
        <w:rPr>
          <w:lang w:val="en-GB"/>
        </w:rPr>
        <w:t xml:space="preserve">It is important to note that currently, there exists no methodology to identify the interfering </w:t>
      </w:r>
      <w:r w:rsidR="00D66FE7">
        <w:rPr>
          <w:lang w:val="en-GB"/>
        </w:rPr>
        <w:t xml:space="preserve">SBFD-aware UEs to the victim TDD UEs. Thus, applying the p-Max power reduction for all SBFD-aware UEs or only a set of identified UEs is </w:t>
      </w:r>
      <w:r w:rsidR="007454FE">
        <w:rPr>
          <w:lang w:val="en-GB"/>
        </w:rPr>
        <w:t xml:space="preserve">FFS. </w:t>
      </w:r>
      <w:r w:rsidR="001539CF">
        <w:rPr>
          <w:lang w:val="en-GB"/>
        </w:rPr>
        <w:t xml:space="preserve">Main challenges with this solution are two-folds, a) identification of the interfering SBFD-aware UEs and b) Impact on SBFD UL network performance (i.e., UL coverage). </w:t>
      </w:r>
    </w:p>
    <w:p w14:paraId="091BDE02" w14:textId="363D9912" w:rsidR="007454FE" w:rsidRPr="00BF0791" w:rsidRDefault="007454FE" w:rsidP="00D47B19">
      <w:pPr>
        <w:rPr>
          <w:b/>
          <w:bCs/>
          <w:lang w:val="en-GB"/>
        </w:rPr>
      </w:pPr>
      <w:r w:rsidRPr="006F4861">
        <w:rPr>
          <w:b/>
          <w:bCs/>
          <w:u w:val="single"/>
          <w:lang w:val="en-GB"/>
        </w:rPr>
        <w:t>Observation</w:t>
      </w:r>
      <w:r w:rsidR="006F4861" w:rsidRPr="006F4861">
        <w:rPr>
          <w:b/>
          <w:bCs/>
          <w:u w:val="single"/>
          <w:lang w:val="en-GB"/>
        </w:rPr>
        <w:t xml:space="preserve"> 7</w:t>
      </w:r>
      <w:r w:rsidRPr="00BF0791">
        <w:rPr>
          <w:b/>
          <w:bCs/>
          <w:lang w:val="en-GB"/>
        </w:rPr>
        <w:t xml:space="preserve">: There exists no methodology to identify </w:t>
      </w:r>
      <w:r w:rsidR="006847F6">
        <w:rPr>
          <w:b/>
          <w:bCs/>
          <w:lang w:val="en-GB"/>
        </w:rPr>
        <w:t xml:space="preserve">the </w:t>
      </w:r>
      <w:r w:rsidRPr="00BF0791">
        <w:rPr>
          <w:b/>
          <w:bCs/>
          <w:lang w:val="en-GB"/>
        </w:rPr>
        <w:t>set of interfering SBFD-aware UEs to the victim TDD UEs.</w:t>
      </w:r>
    </w:p>
    <w:p w14:paraId="59259FE2" w14:textId="1422B844" w:rsidR="002B3FEE" w:rsidRDefault="00BF0791" w:rsidP="00D47B19">
      <w:pPr>
        <w:rPr>
          <w:lang w:val="en-GB"/>
        </w:rPr>
      </w:pPr>
      <w:r>
        <w:rPr>
          <w:lang w:val="en-GB"/>
        </w:rPr>
        <w:t xml:space="preserve">Nevertheless, let’s assume that an operator </w:t>
      </w:r>
      <w:proofErr w:type="gramStart"/>
      <w:r>
        <w:rPr>
          <w:lang w:val="en-GB"/>
        </w:rPr>
        <w:t>is able to</w:t>
      </w:r>
      <w:proofErr w:type="gramEnd"/>
      <w:r>
        <w:rPr>
          <w:lang w:val="en-GB"/>
        </w:rPr>
        <w:t xml:space="preserve"> identify such UEs. </w:t>
      </w:r>
      <w:r w:rsidR="0054624E">
        <w:rPr>
          <w:lang w:val="en-GB"/>
        </w:rPr>
        <w:t xml:space="preserve">Afterwards, the </w:t>
      </w:r>
      <w:r w:rsidR="00472240">
        <w:rPr>
          <w:lang w:val="en-GB"/>
        </w:rPr>
        <w:t xml:space="preserve">p-Max of the SBFD-aware UE is decreased by a given offset, given in X dB, to avoid </w:t>
      </w:r>
      <w:r w:rsidR="00FC4036">
        <w:rPr>
          <w:lang w:val="en-GB"/>
        </w:rPr>
        <w:t xml:space="preserve">interfering on the victim TDD UEs in the adjacent channel. </w:t>
      </w:r>
      <w:r w:rsidR="008707A4">
        <w:rPr>
          <w:lang w:val="en-GB"/>
        </w:rPr>
        <w:t xml:space="preserve">In this contribution, we assume that the </w:t>
      </w:r>
      <w:r w:rsidR="00FC4036">
        <w:rPr>
          <w:lang w:val="en-GB"/>
        </w:rPr>
        <w:t xml:space="preserve">identification in the clustered/ dense urban deployment </w:t>
      </w:r>
      <w:r w:rsidR="008707A4">
        <w:rPr>
          <w:lang w:val="en-GB"/>
        </w:rPr>
        <w:t xml:space="preserve">is based </w:t>
      </w:r>
      <w:r w:rsidR="00F5410C">
        <w:rPr>
          <w:lang w:val="en-GB"/>
        </w:rPr>
        <w:t xml:space="preserve">on the dropped cluster. That means that any SBFD-aware UE that is </w:t>
      </w:r>
      <w:r w:rsidR="00E66619">
        <w:rPr>
          <w:lang w:val="en-GB"/>
        </w:rPr>
        <w:t xml:space="preserve">dropped in a cluster </w:t>
      </w:r>
      <w:r w:rsidR="00F5410C">
        <w:rPr>
          <w:lang w:val="en-GB"/>
        </w:rPr>
        <w:t xml:space="preserve">will reduce its p-Max </w:t>
      </w:r>
      <w:r w:rsidR="00B26B3B">
        <w:rPr>
          <w:lang w:val="en-GB"/>
        </w:rPr>
        <w:t xml:space="preserve">to adjust its maximum transmit power to avoid interfering on the victim TDD UEs coexisting in the same cluster. </w:t>
      </w:r>
      <w:r w:rsidR="0054624E">
        <w:rPr>
          <w:lang w:val="en-GB"/>
        </w:rPr>
        <w:t xml:space="preserve"> </w:t>
      </w:r>
      <w:r w:rsidR="0065021C">
        <w:rPr>
          <w:lang w:val="en-GB"/>
        </w:rPr>
        <w:t xml:space="preserve">Note that such identification is only for simulation purposes </w:t>
      </w:r>
      <w:proofErr w:type="gramStart"/>
      <w:r w:rsidR="0065021C">
        <w:rPr>
          <w:lang w:val="en-GB"/>
        </w:rPr>
        <w:t>and in reality, such</w:t>
      </w:r>
      <w:proofErr w:type="gramEnd"/>
      <w:r w:rsidR="0065021C">
        <w:rPr>
          <w:lang w:val="en-GB"/>
        </w:rPr>
        <w:t xml:space="preserve"> identification </w:t>
      </w:r>
      <w:r w:rsidR="004A0726">
        <w:rPr>
          <w:lang w:val="en-GB"/>
        </w:rPr>
        <w:t xml:space="preserve">of clustered UEs might not be straightforward. </w:t>
      </w:r>
    </w:p>
    <w:p w14:paraId="501701CE" w14:textId="515F8E05" w:rsidR="004A0726" w:rsidRDefault="004A0726" w:rsidP="00D47B19">
      <w:pPr>
        <w:rPr>
          <w:lang w:val="en-GB"/>
        </w:rPr>
      </w:pPr>
      <w:r>
        <w:rPr>
          <w:lang w:val="en-GB"/>
        </w:rPr>
        <w:t xml:space="preserve">In figure </w:t>
      </w:r>
      <w:r w:rsidR="00774AE7">
        <w:rPr>
          <w:lang w:val="en-GB"/>
        </w:rPr>
        <w:t>5</w:t>
      </w:r>
      <w:r>
        <w:rPr>
          <w:lang w:val="en-GB"/>
        </w:rPr>
        <w:t xml:space="preserve">, we </w:t>
      </w:r>
      <w:r w:rsidR="00FB1AC8">
        <w:rPr>
          <w:lang w:val="en-GB"/>
        </w:rPr>
        <w:t>present a holistic view of the</w:t>
      </w:r>
      <w:r w:rsidR="0024301E">
        <w:rPr>
          <w:lang w:val="en-GB"/>
        </w:rPr>
        <w:t xml:space="preserve"> system-wide</w:t>
      </w:r>
      <w:r w:rsidR="00FB1AC8">
        <w:rPr>
          <w:lang w:val="en-GB"/>
        </w:rPr>
        <w:t xml:space="preserve"> gains and costs of max p-Max reduction </w:t>
      </w:r>
      <w:r w:rsidR="0024301E">
        <w:rPr>
          <w:lang w:val="en-GB"/>
        </w:rPr>
        <w:t xml:space="preserve">solution </w:t>
      </w:r>
      <w:r w:rsidR="00FB1AC8">
        <w:rPr>
          <w:lang w:val="en-GB"/>
        </w:rPr>
        <w:t xml:space="preserve">for the SBFD network. </w:t>
      </w:r>
      <w:r>
        <w:rPr>
          <w:lang w:val="en-GB"/>
        </w:rPr>
        <w:t xml:space="preserve"> </w:t>
      </w:r>
      <w:r w:rsidR="00033F63">
        <w:rPr>
          <w:lang w:val="en-GB"/>
        </w:rPr>
        <w:t>Green</w:t>
      </w:r>
      <w:r w:rsidR="0024301E">
        <w:rPr>
          <w:lang w:val="en-GB"/>
        </w:rPr>
        <w:t xml:space="preserve"> bars represent the gains </w:t>
      </w:r>
      <w:r w:rsidR="0094407C">
        <w:rPr>
          <w:lang w:val="en-GB"/>
        </w:rPr>
        <w:t xml:space="preserve">% in terms of TP-loss reduction when introducing different values of X dB to the system. Note that in our contribution, all SBFD-aware UEs </w:t>
      </w:r>
      <w:r w:rsidR="00BD66ED">
        <w:rPr>
          <w:lang w:val="en-GB"/>
        </w:rPr>
        <w:t xml:space="preserve">that are within a given distance </w:t>
      </w:r>
      <w:r w:rsidR="003B330D">
        <w:rPr>
          <w:lang w:val="en-GB"/>
        </w:rPr>
        <w:t xml:space="preserve">(i.e., 25 m) </w:t>
      </w:r>
      <w:r w:rsidR="00BD66ED">
        <w:rPr>
          <w:lang w:val="en-GB"/>
        </w:rPr>
        <w:t xml:space="preserve">to a victim legacy TDD UE will be configured with this X </w:t>
      </w:r>
      <w:proofErr w:type="spellStart"/>
      <w:r w:rsidR="00BD66ED">
        <w:rPr>
          <w:lang w:val="en-GB"/>
        </w:rPr>
        <w:t>dB.</w:t>
      </w:r>
      <w:proofErr w:type="spellEnd"/>
      <w:r w:rsidR="00BD66ED">
        <w:rPr>
          <w:lang w:val="en-GB"/>
        </w:rPr>
        <w:t xml:space="preserve"> As mentioned earlier, the methodology to identify those interfering UEs is not </w:t>
      </w:r>
      <w:r w:rsidR="0017324C">
        <w:rPr>
          <w:lang w:val="en-GB"/>
        </w:rPr>
        <w:t xml:space="preserve">yet defined. As can be observed, with higher values of X dB, higher percentages </w:t>
      </w:r>
      <w:r w:rsidR="00B507EC">
        <w:rPr>
          <w:lang w:val="en-GB"/>
        </w:rPr>
        <w:t xml:space="preserve"> </w:t>
      </w:r>
      <w:r w:rsidR="0017324C">
        <w:rPr>
          <w:lang w:val="en-GB"/>
        </w:rPr>
        <w:t xml:space="preserve">of TP-loss reduction can be achieved. On the other hand, </w:t>
      </w:r>
      <w:r w:rsidR="00033F63">
        <w:rPr>
          <w:lang w:val="en-GB"/>
        </w:rPr>
        <w:t xml:space="preserve">the black bars represent the maximum TP loss </w:t>
      </w:r>
      <w:r w:rsidR="00355146">
        <w:rPr>
          <w:lang w:val="en-GB"/>
        </w:rPr>
        <w:t xml:space="preserve">percentage of the SBFD UL network. The maximum TP is evaluated based on the SNR of the scheduled SBFD-aware UEs. Intuitively, as the maximum configured p-Max value of the UE is lower, the UL SNR will be lower and thus, the maximum achievable TP will be lower. </w:t>
      </w:r>
      <w:r w:rsidR="00FA21E5">
        <w:rPr>
          <w:lang w:val="en-GB"/>
        </w:rPr>
        <w:t xml:space="preserve">It is important to note that values given in Figure 5 are based on the set of assumptions given in Section 3. </w:t>
      </w:r>
    </w:p>
    <w:p w14:paraId="06D4ECD8" w14:textId="77777777" w:rsidR="003149DA" w:rsidRDefault="00033F63" w:rsidP="003149DA">
      <w:pPr>
        <w:keepNext/>
        <w:jc w:val="center"/>
      </w:pPr>
      <w:r w:rsidRPr="00033F63">
        <w:rPr>
          <w:noProof/>
        </w:rPr>
        <w:lastRenderedPageBreak/>
        <w:drawing>
          <wp:inline distT="0" distB="0" distL="0" distR="0" wp14:anchorId="2679C738" wp14:editId="67A0A38D">
            <wp:extent cx="3722018" cy="2950474"/>
            <wp:effectExtent l="0" t="0" r="0" b="0"/>
            <wp:docPr id="11902224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a:extLst>
                        <a:ext uri="{28A0092B-C50C-407E-A947-70E740481C1C}">
                          <a14:useLocalDpi xmlns:a14="http://schemas.microsoft.com/office/drawing/2010/main" val="0"/>
                        </a:ext>
                      </a:extLst>
                    </a:blip>
                    <a:srcRect l="4963" t="5358" r="8937" b="5333"/>
                    <a:stretch>
                      <a:fillRect/>
                    </a:stretch>
                  </pic:blipFill>
                  <pic:spPr bwMode="auto">
                    <a:xfrm>
                      <a:off x="0" y="0"/>
                      <a:ext cx="3729176" cy="2956149"/>
                    </a:xfrm>
                    <a:prstGeom prst="rect">
                      <a:avLst/>
                    </a:prstGeom>
                    <a:noFill/>
                    <a:ln>
                      <a:noFill/>
                    </a:ln>
                    <a:extLst>
                      <a:ext uri="{53640926-AAD7-44D8-BBD7-CCE9431645EC}">
                        <a14:shadowObscured xmlns:a14="http://schemas.microsoft.com/office/drawing/2010/main"/>
                      </a:ext>
                    </a:extLst>
                  </pic:spPr>
                </pic:pic>
              </a:graphicData>
            </a:graphic>
          </wp:inline>
        </w:drawing>
      </w:r>
    </w:p>
    <w:p w14:paraId="0D0BF149" w14:textId="086B2CED" w:rsidR="00B26B3B" w:rsidRDefault="003149DA" w:rsidP="003149DA">
      <w:pPr>
        <w:pStyle w:val="Caption"/>
        <w:jc w:val="center"/>
      </w:pPr>
      <w:r>
        <w:t xml:space="preserve">Figure </w:t>
      </w:r>
      <w:r>
        <w:fldChar w:fldCharType="begin"/>
      </w:r>
      <w:r>
        <w:instrText xml:space="preserve"> SEQ Figure \* ARABIC </w:instrText>
      </w:r>
      <w:r>
        <w:fldChar w:fldCharType="separate"/>
      </w:r>
      <w:r w:rsidR="00774AE7">
        <w:rPr>
          <w:noProof/>
        </w:rPr>
        <w:t>5</w:t>
      </w:r>
      <w:r>
        <w:fldChar w:fldCharType="end"/>
      </w:r>
      <w:r>
        <w:t xml:space="preserve"> System level gains and losses of p-Max reduction solution</w:t>
      </w:r>
    </w:p>
    <w:p w14:paraId="100AC1F3" w14:textId="1356F145" w:rsidR="003834D0" w:rsidRDefault="003834D0" w:rsidP="003834D0">
      <w:pPr>
        <w:rPr>
          <w:b/>
          <w:bCs/>
        </w:rPr>
      </w:pPr>
      <w:r w:rsidRPr="00312BE2">
        <w:rPr>
          <w:b/>
          <w:bCs/>
          <w:u w:val="single"/>
        </w:rPr>
        <w:t>Observation</w:t>
      </w:r>
      <w:r w:rsidR="00312BE2" w:rsidRPr="00312BE2">
        <w:rPr>
          <w:b/>
          <w:bCs/>
          <w:u w:val="single"/>
        </w:rPr>
        <w:t xml:space="preserve"> 8</w:t>
      </w:r>
      <w:r w:rsidRPr="00CF79DE">
        <w:rPr>
          <w:b/>
          <w:bCs/>
        </w:rPr>
        <w:t xml:space="preserve">: With p-Max reduction, </w:t>
      </w:r>
      <w:r w:rsidR="00BC2B4A" w:rsidRPr="00CF79DE">
        <w:rPr>
          <w:b/>
          <w:bCs/>
        </w:rPr>
        <w:t xml:space="preserve">TP-loss reduction can be achieved due to lower inter-UE CLI interference, however, </w:t>
      </w:r>
      <w:r w:rsidR="00CF79DE" w:rsidRPr="00CF79DE">
        <w:rPr>
          <w:b/>
          <w:bCs/>
        </w:rPr>
        <w:t>such reduction comes with the cost of SBFD UL network performance degradation.</w:t>
      </w:r>
    </w:p>
    <w:p w14:paraId="5A34E318" w14:textId="66461562" w:rsidR="00400180" w:rsidRPr="00A54727" w:rsidRDefault="00246AE9" w:rsidP="003834D0">
      <w:pPr>
        <w:rPr>
          <w:lang w:val="en-GB"/>
        </w:rPr>
      </w:pPr>
      <w:r>
        <w:t>Given that the value of X dB</w:t>
      </w:r>
      <w:r w:rsidR="00A54727">
        <w:t xml:space="preserve"> should provide a balance between sufficient inter-UE CLI mitigation and acceptable degradation for the SBFD UL network performance, it is important to note that for each power class, </w:t>
      </w:r>
      <w:r w:rsidR="009A3DF6">
        <w:t xml:space="preserve">a unique X dB would be applied. From SBFD-aware UE point of view, no restrictions </w:t>
      </w:r>
      <w:r w:rsidR="00AA63D5">
        <w:t>have</w:t>
      </w:r>
      <w:r w:rsidR="009A3DF6">
        <w:t xml:space="preserve"> been placed on the power class </w:t>
      </w:r>
      <w:r w:rsidR="00D04EDC">
        <w:t xml:space="preserve">for the SBFD deployment, however, Rel-18 SI RAN4 adjacent channel coexistence work focused only on the PC3 (i.e., 23 dBm), since it was following the Rel-16 CLI study item parameters. </w:t>
      </w:r>
      <w:r w:rsidR="00D6111E">
        <w:t xml:space="preserve">An overview of the cost/gain of solution 1 is given in Table 1. </w:t>
      </w:r>
      <w:r w:rsidR="00921D0C">
        <w:t xml:space="preserve">Finally, since this solution addresses the interfering SBFD-aware UEs, this solution </w:t>
      </w:r>
      <w:proofErr w:type="gramStart"/>
      <w:r w:rsidR="00921D0C">
        <w:t>has to</w:t>
      </w:r>
      <w:proofErr w:type="gramEnd"/>
      <w:r w:rsidR="00921D0C">
        <w:t xml:space="preserve"> be UE-configured and not applied to all SBFD-aware UEs. </w:t>
      </w:r>
    </w:p>
    <w:p w14:paraId="4BDBAED6" w14:textId="340A48B2" w:rsidR="003149DA" w:rsidRDefault="00FA21E5" w:rsidP="003149DA">
      <w:pPr>
        <w:rPr>
          <w:b/>
          <w:bCs/>
        </w:rPr>
      </w:pPr>
      <w:r w:rsidRPr="00312BE2">
        <w:rPr>
          <w:b/>
          <w:bCs/>
          <w:u w:val="single"/>
        </w:rPr>
        <w:t>Observation</w:t>
      </w:r>
      <w:r w:rsidR="00312BE2" w:rsidRPr="00312BE2">
        <w:rPr>
          <w:b/>
          <w:bCs/>
          <w:u w:val="single"/>
        </w:rPr>
        <w:t xml:space="preserve"> 9</w:t>
      </w:r>
      <w:r w:rsidR="006B1288">
        <w:rPr>
          <w:b/>
          <w:bCs/>
          <w:u w:val="single"/>
        </w:rPr>
        <w:t>a</w:t>
      </w:r>
      <w:r>
        <w:rPr>
          <w:b/>
          <w:bCs/>
        </w:rPr>
        <w:t xml:space="preserve">: </w:t>
      </w:r>
      <w:r w:rsidR="00111F0D">
        <w:rPr>
          <w:b/>
          <w:bCs/>
        </w:rPr>
        <w:t xml:space="preserve">If this solution is agreed by RAN4, </w:t>
      </w:r>
      <w:r w:rsidR="00400180">
        <w:rPr>
          <w:b/>
          <w:bCs/>
        </w:rPr>
        <w:t xml:space="preserve">more analysis is needed to derive meaningful X dB values for the different power classes for FR1 deployments. </w:t>
      </w:r>
    </w:p>
    <w:p w14:paraId="375D12F9" w14:textId="14CEC31E" w:rsidR="006B1288" w:rsidRDefault="006B1288" w:rsidP="003149DA">
      <w:pPr>
        <w:rPr>
          <w:b/>
          <w:bCs/>
        </w:rPr>
      </w:pPr>
      <w:r w:rsidRPr="00312BE2">
        <w:rPr>
          <w:b/>
          <w:bCs/>
          <w:u w:val="single"/>
        </w:rPr>
        <w:t>Observation 9</w:t>
      </w:r>
      <w:r>
        <w:rPr>
          <w:b/>
          <w:bCs/>
          <w:u w:val="single"/>
        </w:rPr>
        <w:t>b</w:t>
      </w:r>
      <w:r>
        <w:rPr>
          <w:b/>
          <w:bCs/>
        </w:rPr>
        <w:t xml:space="preserve">: If this solution is agreed by RAN4, it </w:t>
      </w:r>
      <w:proofErr w:type="gramStart"/>
      <w:r>
        <w:rPr>
          <w:b/>
          <w:bCs/>
        </w:rPr>
        <w:t>has to</w:t>
      </w:r>
      <w:proofErr w:type="gramEnd"/>
      <w:r>
        <w:rPr>
          <w:b/>
          <w:bCs/>
        </w:rPr>
        <w:t xml:space="preserve"> be UE configured, in order not to impact all SBFD-aware UEs. </w:t>
      </w:r>
    </w:p>
    <w:p w14:paraId="5A3DBF76" w14:textId="53F0FD6B" w:rsidR="00D73206" w:rsidRDefault="00D73206" w:rsidP="00D73206">
      <w:pPr>
        <w:pStyle w:val="Caption"/>
        <w:keepNext/>
        <w:jc w:val="center"/>
      </w:pPr>
      <w:r>
        <w:t xml:space="preserve">Table </w:t>
      </w:r>
      <w:r>
        <w:fldChar w:fldCharType="begin"/>
      </w:r>
      <w:r>
        <w:instrText xml:space="preserve"> SEQ Table \* ARABIC </w:instrText>
      </w:r>
      <w:r>
        <w:fldChar w:fldCharType="separate"/>
      </w:r>
      <w:r w:rsidR="00A2104E">
        <w:rPr>
          <w:noProof/>
        </w:rPr>
        <w:t>1</w:t>
      </w:r>
      <w:r>
        <w:fldChar w:fldCharType="end"/>
      </w:r>
      <w:r>
        <w:t xml:space="preserve"> </w:t>
      </w:r>
      <w:r w:rsidR="00D6111E">
        <w:rPr>
          <w:noProof/>
        </w:rPr>
        <w:t>A</w:t>
      </w:r>
      <w:r>
        <w:rPr>
          <w:noProof/>
        </w:rPr>
        <w:t>nalysis on p-Max for SBFD-aware UE solution</w:t>
      </w:r>
    </w:p>
    <w:tbl>
      <w:tblPr>
        <w:tblStyle w:val="TableGrid"/>
        <w:tblW w:w="0" w:type="auto"/>
        <w:tblLook w:val="04A0" w:firstRow="1" w:lastRow="0" w:firstColumn="1" w:lastColumn="0" w:noHBand="0" w:noVBand="1"/>
      </w:tblPr>
      <w:tblGrid>
        <w:gridCol w:w="1644"/>
        <w:gridCol w:w="1429"/>
        <w:gridCol w:w="1429"/>
        <w:gridCol w:w="1709"/>
        <w:gridCol w:w="1709"/>
        <w:gridCol w:w="1709"/>
      </w:tblGrid>
      <w:tr w:rsidR="00EE65B7" w14:paraId="001B4618" w14:textId="77777777" w:rsidTr="008D2CB8">
        <w:tc>
          <w:tcPr>
            <w:tcW w:w="1644" w:type="dxa"/>
          </w:tcPr>
          <w:p w14:paraId="756CAFFE" w14:textId="77777777" w:rsidR="00EE65B7" w:rsidRDefault="00EE65B7" w:rsidP="008D2CB8">
            <w:pPr>
              <w:spacing w:after="120" w:line="259" w:lineRule="auto"/>
            </w:pPr>
          </w:p>
        </w:tc>
        <w:tc>
          <w:tcPr>
            <w:tcW w:w="1429" w:type="dxa"/>
          </w:tcPr>
          <w:p w14:paraId="65A888B9" w14:textId="77777777" w:rsidR="00EE65B7" w:rsidRDefault="00EE65B7" w:rsidP="008D2CB8">
            <w:pPr>
              <w:spacing w:after="120" w:line="259" w:lineRule="auto"/>
              <w:rPr>
                <w:rFonts w:eastAsiaTheme="minorEastAsia"/>
              </w:rPr>
            </w:pPr>
            <w:r>
              <w:rPr>
                <w:rFonts w:eastAsiaTheme="minorEastAsia"/>
              </w:rPr>
              <w:t>Expected benefit(s)</w:t>
            </w:r>
          </w:p>
        </w:tc>
        <w:tc>
          <w:tcPr>
            <w:tcW w:w="1429" w:type="dxa"/>
          </w:tcPr>
          <w:p w14:paraId="0D921F51" w14:textId="77777777" w:rsidR="00EE65B7" w:rsidRDefault="00EE65B7" w:rsidP="008D2CB8">
            <w:pPr>
              <w:spacing w:after="120" w:line="259" w:lineRule="auto"/>
              <w:rPr>
                <w:rFonts w:eastAsiaTheme="minorEastAsia"/>
              </w:rPr>
            </w:pPr>
            <w:r>
              <w:rPr>
                <w:rFonts w:eastAsiaTheme="minorEastAsia"/>
              </w:rPr>
              <w:t>Expected limitation(s)</w:t>
            </w:r>
          </w:p>
        </w:tc>
        <w:tc>
          <w:tcPr>
            <w:tcW w:w="1709" w:type="dxa"/>
          </w:tcPr>
          <w:p w14:paraId="39C80E70" w14:textId="77777777" w:rsidR="00EE65B7" w:rsidRDefault="00EE65B7" w:rsidP="008D2CB8">
            <w:pPr>
              <w:spacing w:after="120" w:line="259" w:lineRule="auto"/>
            </w:pPr>
            <w:r>
              <w:rPr>
                <w:rFonts w:eastAsiaTheme="minorEastAsia"/>
              </w:rPr>
              <w:t>Expected RAN4 requirement impact</w:t>
            </w:r>
          </w:p>
        </w:tc>
        <w:tc>
          <w:tcPr>
            <w:tcW w:w="1709" w:type="dxa"/>
          </w:tcPr>
          <w:p w14:paraId="4ADEB860" w14:textId="77777777" w:rsidR="00EE65B7" w:rsidRDefault="00EE65B7" w:rsidP="008D2CB8">
            <w:pPr>
              <w:spacing w:after="120" w:line="259" w:lineRule="auto"/>
            </w:pPr>
            <w:r>
              <w:rPr>
                <w:rFonts w:eastAsiaTheme="minorEastAsia"/>
              </w:rPr>
              <w:t>Expected RAN2 requirement impact</w:t>
            </w:r>
          </w:p>
        </w:tc>
        <w:tc>
          <w:tcPr>
            <w:tcW w:w="1709" w:type="dxa"/>
          </w:tcPr>
          <w:p w14:paraId="5D5424F9" w14:textId="77777777" w:rsidR="00EE65B7" w:rsidRDefault="00EE65B7" w:rsidP="008D2CB8">
            <w:pPr>
              <w:spacing w:after="120" w:line="259" w:lineRule="auto"/>
            </w:pPr>
            <w:r>
              <w:rPr>
                <w:rFonts w:eastAsiaTheme="minorEastAsia"/>
              </w:rPr>
              <w:t>Expected RAN3 requirement impact</w:t>
            </w:r>
          </w:p>
        </w:tc>
      </w:tr>
      <w:tr w:rsidR="00EE65B7" w14:paraId="0D6B443C" w14:textId="77777777" w:rsidTr="008D2CB8">
        <w:tc>
          <w:tcPr>
            <w:tcW w:w="1644" w:type="dxa"/>
          </w:tcPr>
          <w:p w14:paraId="315CADD5" w14:textId="7E79A053" w:rsidR="00EE65B7" w:rsidRDefault="00EE65B7" w:rsidP="008D2CB8">
            <w:pPr>
              <w:spacing w:after="120" w:line="259" w:lineRule="auto"/>
            </w:pPr>
            <w:r>
              <w:t>Solution: Reduced p-Max for SBFD-aware UE Tx power</w:t>
            </w:r>
            <w:r w:rsidRPr="00455A09">
              <w:t xml:space="preserve"> from victim channel)</w:t>
            </w:r>
          </w:p>
        </w:tc>
        <w:tc>
          <w:tcPr>
            <w:tcW w:w="1429" w:type="dxa"/>
          </w:tcPr>
          <w:p w14:paraId="4B85972D" w14:textId="77777777" w:rsidR="00EE65B7" w:rsidRDefault="00EE65B7" w:rsidP="008D2CB8">
            <w:pPr>
              <w:spacing w:after="120" w:line="259" w:lineRule="auto"/>
            </w:pPr>
            <w:r>
              <w:t xml:space="preserve">Inter-UE CLI reduction </w:t>
            </w:r>
          </w:p>
        </w:tc>
        <w:tc>
          <w:tcPr>
            <w:tcW w:w="1429" w:type="dxa"/>
          </w:tcPr>
          <w:p w14:paraId="5F05768F" w14:textId="2D2F171A" w:rsidR="00EE65B7" w:rsidRDefault="00EE65B7" w:rsidP="008D2CB8">
            <w:pPr>
              <w:spacing w:after="120" w:line="259" w:lineRule="auto"/>
            </w:pPr>
            <w:r>
              <w:t xml:space="preserve">Degradation in SBFD-UL network performance  </w:t>
            </w:r>
          </w:p>
        </w:tc>
        <w:tc>
          <w:tcPr>
            <w:tcW w:w="1709" w:type="dxa"/>
          </w:tcPr>
          <w:p w14:paraId="6FA22449" w14:textId="7D6D2F87" w:rsidR="00EE65B7" w:rsidRDefault="00EE65B7" w:rsidP="008D2CB8">
            <w:pPr>
              <w:spacing w:after="120" w:line="259" w:lineRule="auto"/>
            </w:pPr>
            <w:r>
              <w:t>Derive max power reduction values for different UE power classes and modifications to TS 38.101-1</w:t>
            </w:r>
            <w:r w:rsidR="007D34E9">
              <w:t>.</w:t>
            </w:r>
          </w:p>
        </w:tc>
        <w:tc>
          <w:tcPr>
            <w:tcW w:w="1709" w:type="dxa"/>
          </w:tcPr>
          <w:p w14:paraId="3A570AA4" w14:textId="6F1FB66C" w:rsidR="00EE65B7" w:rsidRDefault="00EE65B7" w:rsidP="008D2CB8">
            <w:pPr>
              <w:spacing w:after="120" w:line="259" w:lineRule="auto"/>
            </w:pPr>
            <w:r>
              <w:t>FFS</w:t>
            </w:r>
            <w:r w:rsidR="007D34E9">
              <w:t xml:space="preserve"> on additional signaling needed to identify set of interfering SBFD-aware UEs. </w:t>
            </w:r>
          </w:p>
        </w:tc>
        <w:tc>
          <w:tcPr>
            <w:tcW w:w="1709" w:type="dxa"/>
          </w:tcPr>
          <w:p w14:paraId="384014D0" w14:textId="6E63B594" w:rsidR="00EE65B7" w:rsidRDefault="007D34E9" w:rsidP="008D2CB8">
            <w:pPr>
              <w:spacing w:after="120" w:line="259" w:lineRule="auto"/>
            </w:pPr>
            <w:r>
              <w:t>FFS on additional signaling needed to identify set of interfering SBFD-aware UEs.</w:t>
            </w:r>
          </w:p>
        </w:tc>
      </w:tr>
    </w:tbl>
    <w:p w14:paraId="7F6F498E" w14:textId="5A1F14C5" w:rsidR="00EE65B7" w:rsidRPr="00EE65B7" w:rsidRDefault="00EE65B7" w:rsidP="003149DA">
      <w:pPr>
        <w:rPr>
          <w:b/>
          <w:bCs/>
        </w:rPr>
      </w:pPr>
    </w:p>
    <w:p w14:paraId="142BAFAB" w14:textId="6AB9AF00" w:rsidR="00D47B19" w:rsidRDefault="00D47B19">
      <w:pPr>
        <w:pStyle w:val="Heading2"/>
      </w:pPr>
      <w:r>
        <w:lastRenderedPageBreak/>
        <w:t xml:space="preserve">Solution 2: DUD SBFD configuration </w:t>
      </w:r>
    </w:p>
    <w:p w14:paraId="06E9345D" w14:textId="77777777" w:rsidR="00810226" w:rsidRDefault="006B22A3" w:rsidP="00D47B19">
      <w:pPr>
        <w:rPr>
          <w:lang w:val="en-GB"/>
        </w:rPr>
      </w:pPr>
      <w:r>
        <w:rPr>
          <w:lang w:val="en-GB"/>
        </w:rPr>
        <w:t>In this solution, the main idea is to</w:t>
      </w:r>
      <w:r w:rsidR="00A35820">
        <w:rPr>
          <w:lang w:val="en-GB"/>
        </w:rPr>
        <w:t xml:space="preserve"> provide protection for the adjacent TDD network from inter-UE CLI by adopting the SBFD configuration DUD</w:t>
      </w:r>
      <w:r w:rsidR="00C60075">
        <w:rPr>
          <w:lang w:val="en-GB"/>
        </w:rPr>
        <w:t xml:space="preserve"> in the SBFD network. By doing so, the </w:t>
      </w:r>
      <w:r w:rsidR="00331930">
        <w:rPr>
          <w:lang w:val="en-GB"/>
        </w:rPr>
        <w:t>downlink subband will act as a guard band</w:t>
      </w:r>
      <w:r w:rsidR="001C6E84">
        <w:rPr>
          <w:lang w:val="en-GB"/>
        </w:rPr>
        <w:t xml:space="preserve">, thus, reducing </w:t>
      </w:r>
      <w:r w:rsidR="00C60075">
        <w:rPr>
          <w:lang w:val="en-GB"/>
        </w:rPr>
        <w:t>adjacent channel interference stemming from the aggressor SBFD-aware UE sending in the UL subband</w:t>
      </w:r>
      <w:r w:rsidR="001C6E84">
        <w:rPr>
          <w:lang w:val="en-GB"/>
        </w:rPr>
        <w:t>.</w:t>
      </w:r>
      <w:r w:rsidR="008B3A7D">
        <w:rPr>
          <w:lang w:val="en-GB"/>
        </w:rPr>
        <w:t xml:space="preserve"> </w:t>
      </w:r>
    </w:p>
    <w:p w14:paraId="6274FEA3" w14:textId="2E131C07" w:rsidR="001C72F5" w:rsidRDefault="001C72F5" w:rsidP="001C72F5">
      <w:pPr>
        <w:rPr>
          <w:lang w:val="en-GB"/>
        </w:rPr>
      </w:pPr>
      <w:r>
        <w:rPr>
          <w:lang w:val="en-GB"/>
        </w:rPr>
        <w:t>DUD configuration or UD configuration can provide protection against inter-UE CLI. However, mandating DUD configuration in Rel-19 work item will be limiting and might negatively impact the deployment of SBFD. It is best left to the operators to coordinate which SBFD configuration fits their use cases</w:t>
      </w:r>
      <w:r w:rsidR="00310611">
        <w:rPr>
          <w:lang w:val="en-GB"/>
        </w:rPr>
        <w:t xml:space="preserve">, while accommodating impact on adjacent operations, whenever feasible. </w:t>
      </w:r>
    </w:p>
    <w:p w14:paraId="14C19B71" w14:textId="488B0D6F" w:rsidR="001C72F5" w:rsidRPr="00310611" w:rsidRDefault="00310611" w:rsidP="00D47B19">
      <w:r w:rsidRPr="00312BE2">
        <w:rPr>
          <w:b/>
          <w:bCs/>
          <w:u w:val="single"/>
        </w:rPr>
        <w:t xml:space="preserve">Observation </w:t>
      </w:r>
      <w:r>
        <w:rPr>
          <w:b/>
          <w:bCs/>
          <w:u w:val="single"/>
        </w:rPr>
        <w:t>10</w:t>
      </w:r>
      <w:r>
        <w:rPr>
          <w:b/>
          <w:bCs/>
        </w:rPr>
        <w:t>: Mandating DUD configuration might be limiting to SBFD deployments.</w:t>
      </w:r>
    </w:p>
    <w:p w14:paraId="15115BFB" w14:textId="6215BA6C" w:rsidR="008453B7" w:rsidRDefault="007B0C77" w:rsidP="00D47B19">
      <w:pPr>
        <w:rPr>
          <w:lang w:val="en-GB"/>
        </w:rPr>
      </w:pPr>
      <w:r>
        <w:rPr>
          <w:lang w:val="en-GB"/>
        </w:rPr>
        <w:t>In terms of quantifying the gains of such</w:t>
      </w:r>
      <w:r w:rsidR="000F78E2">
        <w:rPr>
          <w:lang w:val="en-GB"/>
        </w:rPr>
        <w:t xml:space="preserve"> solution in the RAN4 adjacent channel coexistence framework, main impact will be on the underlying aggressor UE ACLR and victim UE ACS assumptions. As shown in Figure 6, the victim UE will fall into the ACLR3 region of the aggressor SBFD-aware UE. For sake of simplicity, we assume </w:t>
      </w:r>
      <w:r w:rsidR="00512600">
        <w:rPr>
          <w:lang w:val="en-GB"/>
        </w:rPr>
        <w:t xml:space="preserve">ACLR3 = </w:t>
      </w:r>
      <w:r w:rsidR="00D70732">
        <w:rPr>
          <w:lang w:val="en-GB"/>
        </w:rPr>
        <w:t xml:space="preserve">50 dB </w:t>
      </w:r>
      <w:r w:rsidR="00C0387F">
        <w:rPr>
          <w:lang w:val="en-GB"/>
        </w:rPr>
        <w:t xml:space="preserve">(following </w:t>
      </w:r>
      <w:r w:rsidR="00C0387F" w:rsidRPr="00B77ABC">
        <w:t>Table 12.9</w:t>
      </w:r>
      <w:r w:rsidR="00C0387F">
        <w:t xml:space="preserve"> in </w:t>
      </w:r>
      <w:r w:rsidR="00D70732">
        <w:rPr>
          <w:lang w:val="en-GB"/>
        </w:rPr>
        <w:t xml:space="preserve">TR 36.942 for </w:t>
      </w:r>
      <w:r w:rsidR="00CA6E4F">
        <w:rPr>
          <w:lang w:val="en-GB"/>
        </w:rPr>
        <w:t>LTE-A simulations</w:t>
      </w:r>
      <w:r w:rsidR="00C0387F">
        <w:rPr>
          <w:lang w:val="en-GB"/>
        </w:rPr>
        <w:t>)</w:t>
      </w:r>
      <w:r w:rsidR="00CA6E4F">
        <w:rPr>
          <w:lang w:val="en-GB"/>
        </w:rPr>
        <w:t xml:space="preserve">. It is important to note that ACLR3 here is just </w:t>
      </w:r>
      <w:r w:rsidR="008825B6">
        <w:rPr>
          <w:lang w:val="en-GB"/>
        </w:rPr>
        <w:t xml:space="preserve">used for simulations and that minimum RAN4 ACLR requirements still hold. </w:t>
      </w:r>
      <w:r w:rsidR="00872D8E">
        <w:rPr>
          <w:lang w:val="en-GB"/>
        </w:rPr>
        <w:t>For the ACS</w:t>
      </w:r>
      <w:r w:rsidR="00FF4BF5">
        <w:rPr>
          <w:lang w:val="en-GB"/>
        </w:rPr>
        <w:t xml:space="preserve">, during offline discussions after RAN4#115, companies have proposed either ACS2 </w:t>
      </w:r>
      <w:r w:rsidR="008453B7">
        <w:rPr>
          <w:lang w:val="en-GB"/>
        </w:rPr>
        <w:t xml:space="preserve">~ </w:t>
      </w:r>
      <w:r w:rsidR="00FF4BF5">
        <w:rPr>
          <w:lang w:val="en-GB"/>
        </w:rPr>
        <w:t>3</w:t>
      </w:r>
      <w:r w:rsidR="008453B7">
        <w:rPr>
          <w:lang w:val="en-GB"/>
        </w:rPr>
        <w:t>3.6 dB</w:t>
      </w:r>
      <w:r w:rsidR="00FF4BF5">
        <w:rPr>
          <w:lang w:val="en-GB"/>
        </w:rPr>
        <w:t xml:space="preserve"> or ACS3</w:t>
      </w:r>
      <w:r w:rsidR="008453B7">
        <w:rPr>
          <w:lang w:val="en-GB"/>
        </w:rPr>
        <w:t xml:space="preserve"> ~ 46 dB</w:t>
      </w:r>
      <w:r w:rsidR="00FF4BF5">
        <w:rPr>
          <w:lang w:val="en-GB"/>
        </w:rPr>
        <w:t xml:space="preserve"> (following </w:t>
      </w:r>
      <w:r w:rsidR="00B77ABC" w:rsidRPr="00B77ABC">
        <w:t xml:space="preserve">Table 12.9 </w:t>
      </w:r>
      <w:r w:rsidR="00B77ABC">
        <w:t xml:space="preserve">in </w:t>
      </w:r>
      <w:r w:rsidR="00FF4BF5">
        <w:rPr>
          <w:lang w:val="en-GB"/>
        </w:rPr>
        <w:t xml:space="preserve">TR 36.942) as an </w:t>
      </w:r>
      <w:r w:rsidR="008453B7">
        <w:rPr>
          <w:lang w:val="en-GB"/>
        </w:rPr>
        <w:t>optional</w:t>
      </w:r>
      <w:r w:rsidR="00FF4BF5">
        <w:rPr>
          <w:lang w:val="en-GB"/>
        </w:rPr>
        <w:t xml:space="preserve"> value.</w:t>
      </w:r>
      <w:r w:rsidR="008453B7">
        <w:rPr>
          <w:lang w:val="en-GB"/>
        </w:rPr>
        <w:t xml:space="preserve"> Accordingly, the ACIR based on the different options can be summarized as follows:</w:t>
      </w:r>
    </w:p>
    <w:p w14:paraId="7530A604" w14:textId="5F9EA240" w:rsidR="007B0C77" w:rsidRPr="00A01357" w:rsidRDefault="0049117F" w:rsidP="0049117F">
      <w:pPr>
        <w:pStyle w:val="ListParagraph"/>
        <w:numPr>
          <w:ilvl w:val="0"/>
          <w:numId w:val="37"/>
        </w:numPr>
        <w:rPr>
          <w:rFonts w:ascii="Times New Roman" w:hAnsi="Times New Roman"/>
          <w:sz w:val="20"/>
          <w:szCs w:val="20"/>
          <w:lang w:val="en-GB"/>
        </w:rPr>
      </w:pPr>
      <w:r w:rsidRPr="00A01357">
        <w:rPr>
          <w:rFonts w:ascii="Times New Roman" w:hAnsi="Times New Roman"/>
          <w:sz w:val="20"/>
          <w:szCs w:val="20"/>
          <w:lang w:val="en-GB"/>
        </w:rPr>
        <w:t>Lega</w:t>
      </w:r>
      <w:r w:rsidR="00966B2E" w:rsidRPr="00A01357">
        <w:rPr>
          <w:rFonts w:ascii="Times New Roman" w:hAnsi="Times New Roman"/>
          <w:sz w:val="20"/>
          <w:szCs w:val="20"/>
          <w:lang w:val="en-GB"/>
        </w:rPr>
        <w:t>cy</w:t>
      </w:r>
      <w:r w:rsidRPr="00A01357">
        <w:rPr>
          <w:rFonts w:ascii="Times New Roman" w:hAnsi="Times New Roman"/>
          <w:sz w:val="20"/>
          <w:szCs w:val="20"/>
          <w:lang w:val="en-GB"/>
        </w:rPr>
        <w:t xml:space="preserve"> ACIR with ACLR = 30 dB / ACS  = 33 dB </w:t>
      </w:r>
      <w:r w:rsidRPr="00A01357">
        <w:rPr>
          <w:rFonts w:ascii="Times New Roman" w:hAnsi="Times New Roman"/>
          <w:sz w:val="20"/>
          <w:szCs w:val="20"/>
          <w:lang w:val="en-GB"/>
        </w:rPr>
        <w:sym w:font="Wingdings" w:char="F0E0"/>
      </w:r>
      <w:r w:rsidRPr="00A01357">
        <w:rPr>
          <w:rFonts w:ascii="Times New Roman" w:hAnsi="Times New Roman"/>
          <w:sz w:val="20"/>
          <w:szCs w:val="20"/>
          <w:lang w:val="en-GB"/>
        </w:rPr>
        <w:t xml:space="preserve"> ACIR</w:t>
      </w:r>
      <w:r w:rsidR="00AF4F84" w:rsidRPr="00A01357">
        <w:rPr>
          <w:rFonts w:ascii="Times New Roman" w:hAnsi="Times New Roman"/>
          <w:sz w:val="20"/>
          <w:szCs w:val="20"/>
          <w:lang w:val="en-GB"/>
        </w:rPr>
        <w:t xml:space="preserve"> </w:t>
      </w:r>
      <w:r w:rsidRPr="00A01357">
        <w:rPr>
          <w:rFonts w:ascii="Times New Roman" w:hAnsi="Times New Roman"/>
          <w:sz w:val="20"/>
          <w:szCs w:val="20"/>
          <w:lang w:val="en-GB"/>
        </w:rPr>
        <w:t>~ 28 dB</w:t>
      </w:r>
    </w:p>
    <w:p w14:paraId="54423777" w14:textId="1EB736D1" w:rsidR="0049117F" w:rsidRPr="00A01357" w:rsidRDefault="00966B2E" w:rsidP="0049117F">
      <w:pPr>
        <w:pStyle w:val="ListParagraph"/>
        <w:numPr>
          <w:ilvl w:val="0"/>
          <w:numId w:val="37"/>
        </w:numPr>
        <w:rPr>
          <w:rFonts w:ascii="Times New Roman" w:hAnsi="Times New Roman"/>
          <w:sz w:val="20"/>
          <w:szCs w:val="20"/>
          <w:lang w:val="en-GB"/>
        </w:rPr>
      </w:pPr>
      <w:r w:rsidRPr="00A01357">
        <w:rPr>
          <w:rFonts w:ascii="Times New Roman" w:hAnsi="Times New Roman"/>
          <w:sz w:val="20"/>
          <w:szCs w:val="20"/>
          <w:lang w:val="en-GB"/>
        </w:rPr>
        <w:t>Enhanced</w:t>
      </w:r>
      <w:r w:rsidR="00AF4F84" w:rsidRPr="00A01357">
        <w:rPr>
          <w:rFonts w:ascii="Times New Roman" w:hAnsi="Times New Roman"/>
          <w:sz w:val="20"/>
          <w:szCs w:val="20"/>
          <w:lang w:val="en-GB"/>
        </w:rPr>
        <w:t xml:space="preserve"> ACIR</w:t>
      </w:r>
      <w:r w:rsidR="003C7913">
        <w:rPr>
          <w:rFonts w:ascii="Times New Roman" w:hAnsi="Times New Roman"/>
          <w:sz w:val="20"/>
          <w:szCs w:val="20"/>
          <w:lang w:val="en-GB"/>
        </w:rPr>
        <w:t xml:space="preserve"> (a)</w:t>
      </w:r>
      <w:r w:rsidR="00AF4F84" w:rsidRPr="00A01357">
        <w:rPr>
          <w:rFonts w:ascii="Times New Roman" w:hAnsi="Times New Roman"/>
          <w:sz w:val="20"/>
          <w:szCs w:val="20"/>
          <w:lang w:val="en-GB"/>
        </w:rPr>
        <w:t xml:space="preserve"> w/ ACLR3 = </w:t>
      </w:r>
      <w:r w:rsidR="005C3E6D">
        <w:rPr>
          <w:rFonts w:ascii="Times New Roman" w:hAnsi="Times New Roman"/>
          <w:sz w:val="20"/>
          <w:szCs w:val="20"/>
          <w:lang w:val="en-GB"/>
        </w:rPr>
        <w:t>49</w:t>
      </w:r>
      <w:r w:rsidR="00AF4F84" w:rsidRPr="00A01357">
        <w:rPr>
          <w:rFonts w:ascii="Times New Roman" w:hAnsi="Times New Roman"/>
          <w:sz w:val="20"/>
          <w:szCs w:val="20"/>
          <w:lang w:val="en-GB"/>
        </w:rPr>
        <w:t xml:space="preserve"> dB / ACS</w:t>
      </w:r>
      <w:r w:rsidR="003C7913">
        <w:rPr>
          <w:rFonts w:ascii="Times New Roman" w:hAnsi="Times New Roman"/>
          <w:sz w:val="20"/>
          <w:szCs w:val="20"/>
          <w:lang w:val="en-GB"/>
        </w:rPr>
        <w:t>2</w:t>
      </w:r>
      <w:r w:rsidR="00AF4F84" w:rsidRPr="00A01357">
        <w:rPr>
          <w:rFonts w:ascii="Times New Roman" w:hAnsi="Times New Roman"/>
          <w:sz w:val="20"/>
          <w:szCs w:val="20"/>
          <w:lang w:val="en-GB"/>
        </w:rPr>
        <w:t xml:space="preserve"> </w:t>
      </w:r>
      <w:r w:rsidRPr="00A01357">
        <w:rPr>
          <w:rFonts w:ascii="Times New Roman" w:hAnsi="Times New Roman"/>
          <w:sz w:val="20"/>
          <w:szCs w:val="20"/>
          <w:lang w:val="en-GB"/>
        </w:rPr>
        <w:t>=</w:t>
      </w:r>
      <w:r w:rsidR="00AF4F84" w:rsidRPr="00A01357">
        <w:rPr>
          <w:rFonts w:ascii="Times New Roman" w:hAnsi="Times New Roman"/>
          <w:sz w:val="20"/>
          <w:szCs w:val="20"/>
          <w:lang w:val="en-GB"/>
        </w:rPr>
        <w:t xml:space="preserve"> 3</w:t>
      </w:r>
      <w:r w:rsidR="001302C9">
        <w:rPr>
          <w:rFonts w:ascii="Times New Roman" w:hAnsi="Times New Roman"/>
          <w:sz w:val="20"/>
          <w:szCs w:val="20"/>
          <w:lang w:val="en-GB"/>
        </w:rPr>
        <w:t>3.6</w:t>
      </w:r>
      <w:r w:rsidR="00AF4F84" w:rsidRPr="00A01357">
        <w:rPr>
          <w:rFonts w:ascii="Times New Roman" w:hAnsi="Times New Roman"/>
          <w:sz w:val="20"/>
          <w:szCs w:val="20"/>
          <w:lang w:val="en-GB"/>
        </w:rPr>
        <w:t xml:space="preserve"> dB </w:t>
      </w:r>
      <w:r w:rsidR="00AF4F84" w:rsidRPr="00A01357">
        <w:rPr>
          <w:rFonts w:ascii="Times New Roman" w:hAnsi="Times New Roman"/>
          <w:sz w:val="20"/>
          <w:szCs w:val="20"/>
          <w:lang w:val="en-GB"/>
        </w:rPr>
        <w:sym w:font="Wingdings" w:char="F0E0"/>
      </w:r>
      <w:r w:rsidR="00AF4F84" w:rsidRPr="00A01357">
        <w:rPr>
          <w:rFonts w:ascii="Times New Roman" w:hAnsi="Times New Roman"/>
          <w:sz w:val="20"/>
          <w:szCs w:val="20"/>
          <w:lang w:val="en-GB"/>
        </w:rPr>
        <w:t xml:space="preserve"> ACIR ~ </w:t>
      </w:r>
      <w:r w:rsidRPr="00A01357">
        <w:rPr>
          <w:rFonts w:ascii="Times New Roman" w:hAnsi="Times New Roman"/>
          <w:sz w:val="20"/>
          <w:szCs w:val="20"/>
          <w:lang w:val="en-GB"/>
        </w:rPr>
        <w:t>33.5 dB</w:t>
      </w:r>
    </w:p>
    <w:p w14:paraId="712E4F6F" w14:textId="5F34DE71" w:rsidR="00966B2E" w:rsidRPr="00A01357" w:rsidRDefault="00966B2E" w:rsidP="0049117F">
      <w:pPr>
        <w:pStyle w:val="ListParagraph"/>
        <w:numPr>
          <w:ilvl w:val="0"/>
          <w:numId w:val="37"/>
        </w:numPr>
        <w:rPr>
          <w:rFonts w:ascii="Times New Roman" w:hAnsi="Times New Roman"/>
          <w:sz w:val="20"/>
          <w:szCs w:val="20"/>
          <w:lang w:val="en-GB"/>
        </w:rPr>
      </w:pPr>
      <w:r w:rsidRPr="00A01357">
        <w:rPr>
          <w:rFonts w:ascii="Times New Roman" w:hAnsi="Times New Roman"/>
          <w:sz w:val="20"/>
          <w:szCs w:val="20"/>
          <w:lang w:val="en-GB"/>
        </w:rPr>
        <w:t xml:space="preserve">Enhanced ACIR </w:t>
      </w:r>
      <w:r w:rsidR="003C7913">
        <w:rPr>
          <w:rFonts w:ascii="Times New Roman" w:hAnsi="Times New Roman"/>
          <w:sz w:val="20"/>
          <w:szCs w:val="20"/>
          <w:lang w:val="en-GB"/>
        </w:rPr>
        <w:t xml:space="preserve">(b) </w:t>
      </w:r>
      <w:r w:rsidRPr="00A01357">
        <w:rPr>
          <w:rFonts w:ascii="Times New Roman" w:hAnsi="Times New Roman"/>
          <w:sz w:val="20"/>
          <w:szCs w:val="20"/>
          <w:lang w:val="en-GB"/>
        </w:rPr>
        <w:t xml:space="preserve">w/ ACLR3 = </w:t>
      </w:r>
      <w:r w:rsidR="005C3E6D">
        <w:rPr>
          <w:rFonts w:ascii="Times New Roman" w:hAnsi="Times New Roman"/>
          <w:sz w:val="20"/>
          <w:szCs w:val="20"/>
          <w:lang w:val="en-GB"/>
        </w:rPr>
        <w:t>49</w:t>
      </w:r>
      <w:r w:rsidRPr="00A01357">
        <w:rPr>
          <w:rFonts w:ascii="Times New Roman" w:hAnsi="Times New Roman"/>
          <w:sz w:val="20"/>
          <w:szCs w:val="20"/>
          <w:lang w:val="en-GB"/>
        </w:rPr>
        <w:t xml:space="preserve"> dB / ACS = </w:t>
      </w:r>
      <w:r w:rsidR="00A01357" w:rsidRPr="00A01357">
        <w:rPr>
          <w:rFonts w:ascii="Times New Roman" w:hAnsi="Times New Roman"/>
          <w:sz w:val="20"/>
          <w:szCs w:val="20"/>
          <w:lang w:val="en-GB"/>
        </w:rPr>
        <w:t xml:space="preserve">46 dB </w:t>
      </w:r>
      <w:r w:rsidR="00A01357" w:rsidRPr="00A01357">
        <w:rPr>
          <w:rFonts w:ascii="Times New Roman" w:hAnsi="Times New Roman"/>
          <w:sz w:val="20"/>
          <w:szCs w:val="20"/>
          <w:lang w:val="en-GB"/>
        </w:rPr>
        <w:sym w:font="Wingdings" w:char="F0E0"/>
      </w:r>
      <w:r w:rsidR="00A01357" w:rsidRPr="00A01357">
        <w:rPr>
          <w:rFonts w:ascii="Times New Roman" w:hAnsi="Times New Roman"/>
          <w:sz w:val="20"/>
          <w:szCs w:val="20"/>
          <w:lang w:val="en-GB"/>
        </w:rPr>
        <w:t xml:space="preserve"> ACIR ~ 44 dB</w:t>
      </w:r>
    </w:p>
    <w:p w14:paraId="202D4C3A" w14:textId="77777777" w:rsidR="002D3E40" w:rsidRDefault="005C7450" w:rsidP="002D3E40">
      <w:pPr>
        <w:keepNext/>
        <w:jc w:val="center"/>
      </w:pPr>
      <w:r>
        <w:rPr>
          <w:noProof/>
          <w:lang w:val="en-GB"/>
        </w:rPr>
        <w:drawing>
          <wp:inline distT="0" distB="0" distL="0" distR="0" wp14:anchorId="3291456C" wp14:editId="0C789FA9">
            <wp:extent cx="2516312" cy="1256499"/>
            <wp:effectExtent l="0" t="0" r="0" b="1270"/>
            <wp:docPr id="11746521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27537" cy="1262104"/>
                    </a:xfrm>
                    <a:prstGeom prst="rect">
                      <a:avLst/>
                    </a:prstGeom>
                    <a:noFill/>
                  </pic:spPr>
                </pic:pic>
              </a:graphicData>
            </a:graphic>
          </wp:inline>
        </w:drawing>
      </w:r>
    </w:p>
    <w:p w14:paraId="385716A3" w14:textId="3417E5A3" w:rsidR="00810226" w:rsidRDefault="002D3E40" w:rsidP="0039168C">
      <w:pPr>
        <w:pStyle w:val="Caption"/>
        <w:jc w:val="center"/>
        <w:rPr>
          <w:lang w:val="en-GB"/>
        </w:rPr>
      </w:pPr>
      <w:r>
        <w:t xml:space="preserve">Figure </w:t>
      </w:r>
      <w:r>
        <w:fldChar w:fldCharType="begin"/>
      </w:r>
      <w:r>
        <w:instrText xml:space="preserve"> SEQ Figure \* ARABIC </w:instrText>
      </w:r>
      <w:r>
        <w:fldChar w:fldCharType="separate"/>
      </w:r>
      <w:r w:rsidR="00774AE7">
        <w:rPr>
          <w:noProof/>
        </w:rPr>
        <w:t>6</w:t>
      </w:r>
      <w:r>
        <w:fldChar w:fldCharType="end"/>
      </w:r>
      <w:r>
        <w:t xml:space="preserve"> ACLR leakage visualization for DUD configuration</w:t>
      </w:r>
    </w:p>
    <w:p w14:paraId="7168DFC4" w14:textId="1C5FB730" w:rsidR="00810226" w:rsidRDefault="00A01357" w:rsidP="00D47B19">
      <w:pPr>
        <w:rPr>
          <w:lang w:val="en-GB"/>
        </w:rPr>
      </w:pPr>
      <w:r>
        <w:rPr>
          <w:lang w:val="en-GB"/>
        </w:rPr>
        <w:t xml:space="preserve">In </w:t>
      </w:r>
      <w:r w:rsidR="00EA6C25">
        <w:rPr>
          <w:lang w:val="en-GB"/>
        </w:rPr>
        <w:t>Figure</w:t>
      </w:r>
      <w:r w:rsidR="00B973B9">
        <w:rPr>
          <w:lang w:val="en-GB"/>
        </w:rPr>
        <w:t xml:space="preserve"> </w:t>
      </w:r>
      <w:r w:rsidR="00774AE7">
        <w:rPr>
          <w:lang w:val="en-GB"/>
        </w:rPr>
        <w:t>7</w:t>
      </w:r>
      <w:r w:rsidR="00EA6C25">
        <w:rPr>
          <w:lang w:val="en-GB"/>
        </w:rPr>
        <w:t xml:space="preserve"> we</w:t>
      </w:r>
      <w:r w:rsidR="000272A6">
        <w:rPr>
          <w:lang w:val="en-GB"/>
        </w:rPr>
        <w:t xml:space="preserve"> plot the </w:t>
      </w:r>
      <w:r w:rsidR="008201FE">
        <w:rPr>
          <w:lang w:val="en-GB"/>
        </w:rPr>
        <w:t xml:space="preserve">TP-loss reduction percentage </w:t>
      </w:r>
      <w:r w:rsidR="00D8732E">
        <w:rPr>
          <w:lang w:val="en-GB"/>
        </w:rPr>
        <w:t xml:space="preserve">between edge TP loss with legacy ACIR and edge TP loss with ACIR2 and ACIR3. </w:t>
      </w:r>
      <w:r w:rsidR="007A2E38">
        <w:rPr>
          <w:lang w:val="en-GB"/>
        </w:rPr>
        <w:t>It can be observed that the throughput degradation is minimized as the ACIR is increased, which is expected. It is also important to note that the assumptions of SBFD DU configurations adja</w:t>
      </w:r>
      <w:r w:rsidR="006901CE">
        <w:rPr>
          <w:lang w:val="en-GB"/>
        </w:rPr>
        <w:t>cent to TDD legacy network provide a worst-case view of the coexistence scenario and that additional protection can be achieved via the DUD configuration. The exact gains to be realized from the DUD configuration depends on the underlying assumptions of ACLR/ACS adopted.</w:t>
      </w:r>
      <w:r w:rsidR="00EA6C25">
        <w:rPr>
          <w:lang w:val="en-GB"/>
        </w:rPr>
        <w:t xml:space="preserve"> </w:t>
      </w:r>
      <w:r w:rsidR="00D6111E">
        <w:t>An overview of the cost/gain of solution 2 is given in Table 2.</w:t>
      </w:r>
    </w:p>
    <w:p w14:paraId="4805005D" w14:textId="6A9E96CA" w:rsidR="00052C50" w:rsidRDefault="00052C50" w:rsidP="00052C50">
      <w:pPr>
        <w:rPr>
          <w:b/>
          <w:bCs/>
        </w:rPr>
      </w:pPr>
      <w:r w:rsidRPr="00D6111E">
        <w:rPr>
          <w:b/>
          <w:bCs/>
          <w:u w:val="single"/>
        </w:rPr>
        <w:t>Observation</w:t>
      </w:r>
      <w:r w:rsidR="00D6111E" w:rsidRPr="00D6111E">
        <w:rPr>
          <w:b/>
          <w:bCs/>
          <w:u w:val="single"/>
        </w:rPr>
        <w:t xml:space="preserve"> 11</w:t>
      </w:r>
      <w:r>
        <w:rPr>
          <w:b/>
          <w:bCs/>
        </w:rPr>
        <w:t>: Underlying assumptions on the SBFD configuration affect the experienced inter-UE CLI</w:t>
      </w:r>
      <w:r w:rsidR="000A3AD8">
        <w:rPr>
          <w:b/>
          <w:bCs/>
        </w:rPr>
        <w:t xml:space="preserve">. Adopting ACIR2 or ACIR3 in the simulation provided gains in terms of inter-UE CLI reduction. </w:t>
      </w:r>
    </w:p>
    <w:p w14:paraId="37BF7C01" w14:textId="77777777" w:rsidR="00052C50" w:rsidRPr="00052C50" w:rsidRDefault="00052C50" w:rsidP="00D47B19"/>
    <w:p w14:paraId="2DC77B36" w14:textId="47EA14DE" w:rsidR="00774AE7" w:rsidRDefault="008201FE" w:rsidP="00774AE7">
      <w:pPr>
        <w:keepNext/>
        <w:jc w:val="center"/>
      </w:pPr>
      <w:r w:rsidRPr="008201FE">
        <w:rPr>
          <w:noProof/>
        </w:rPr>
        <w:lastRenderedPageBreak/>
        <w:drawing>
          <wp:inline distT="0" distB="0" distL="0" distR="0" wp14:anchorId="6F552BC1" wp14:editId="4B2AD291">
            <wp:extent cx="2669341" cy="2107739"/>
            <wp:effectExtent l="0" t="0" r="0" b="6985"/>
            <wp:docPr id="14327239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9">
                      <a:extLst>
                        <a:ext uri="{28A0092B-C50C-407E-A947-70E740481C1C}">
                          <a14:useLocalDpi xmlns:a14="http://schemas.microsoft.com/office/drawing/2010/main" val="0"/>
                        </a:ext>
                      </a:extLst>
                    </a:blip>
                    <a:srcRect l="5211" t="6008" r="8193" b="4521"/>
                    <a:stretch>
                      <a:fillRect/>
                    </a:stretch>
                  </pic:blipFill>
                  <pic:spPr bwMode="auto">
                    <a:xfrm>
                      <a:off x="0" y="0"/>
                      <a:ext cx="2679003" cy="2115368"/>
                    </a:xfrm>
                    <a:prstGeom prst="rect">
                      <a:avLst/>
                    </a:prstGeom>
                    <a:noFill/>
                    <a:ln>
                      <a:noFill/>
                    </a:ln>
                    <a:extLst>
                      <a:ext uri="{53640926-AAD7-44D8-BBD7-CCE9431645EC}">
                        <a14:shadowObscured xmlns:a14="http://schemas.microsoft.com/office/drawing/2010/main"/>
                      </a:ext>
                    </a:extLst>
                  </pic:spPr>
                </pic:pic>
              </a:graphicData>
            </a:graphic>
          </wp:inline>
        </w:drawing>
      </w:r>
    </w:p>
    <w:p w14:paraId="320776DE" w14:textId="235C682B" w:rsidR="00774AE7" w:rsidRDefault="00774AE7" w:rsidP="00774AE7">
      <w:pPr>
        <w:pStyle w:val="Caption"/>
        <w:jc w:val="center"/>
        <w:rPr>
          <w:lang w:val="en-GB"/>
        </w:rPr>
      </w:pPr>
      <w:r>
        <w:t xml:space="preserve">Figure </w:t>
      </w:r>
      <w:r>
        <w:fldChar w:fldCharType="begin"/>
      </w:r>
      <w:r>
        <w:instrText xml:space="preserve"> SEQ Figure \* ARABIC </w:instrText>
      </w:r>
      <w:r>
        <w:fldChar w:fldCharType="separate"/>
      </w:r>
      <w:r>
        <w:rPr>
          <w:noProof/>
        </w:rPr>
        <w:t>7</w:t>
      </w:r>
      <w:r>
        <w:fldChar w:fldCharType="end"/>
      </w:r>
      <w:r w:rsidRPr="00923D8A">
        <w:t xml:space="preserve"> System level gains </w:t>
      </w:r>
      <w:r w:rsidR="008201FE">
        <w:t>comparing ACIR2 and ACIR3 to legacy ACIR</w:t>
      </w:r>
    </w:p>
    <w:p w14:paraId="2DD09DFA" w14:textId="77777777" w:rsidR="00E0010B" w:rsidRDefault="00E0010B" w:rsidP="00D47B19">
      <w:pPr>
        <w:rPr>
          <w:lang w:val="en-GB"/>
        </w:rPr>
      </w:pPr>
    </w:p>
    <w:p w14:paraId="0303E1AC" w14:textId="018AEA56" w:rsidR="00A2104E" w:rsidRDefault="00A2104E" w:rsidP="00A2104E">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00D6111E">
        <w:t>A</w:t>
      </w:r>
      <w:r w:rsidRPr="002554FD">
        <w:t xml:space="preserve">nalysis on </w:t>
      </w:r>
      <w:r>
        <w:t>mandated SBFD configuration</w:t>
      </w:r>
      <w:r w:rsidRPr="002554FD">
        <w:t xml:space="preserve"> solution</w:t>
      </w:r>
    </w:p>
    <w:tbl>
      <w:tblPr>
        <w:tblStyle w:val="TableGrid"/>
        <w:tblW w:w="0" w:type="auto"/>
        <w:tblLook w:val="04A0" w:firstRow="1" w:lastRow="0" w:firstColumn="1" w:lastColumn="0" w:noHBand="0" w:noVBand="1"/>
      </w:tblPr>
      <w:tblGrid>
        <w:gridCol w:w="1644"/>
        <w:gridCol w:w="1429"/>
        <w:gridCol w:w="1429"/>
        <w:gridCol w:w="1709"/>
        <w:gridCol w:w="1709"/>
        <w:gridCol w:w="1709"/>
      </w:tblGrid>
      <w:tr w:rsidR="00E0010B" w14:paraId="33D80961" w14:textId="77777777" w:rsidTr="008D2CB8">
        <w:tc>
          <w:tcPr>
            <w:tcW w:w="1644" w:type="dxa"/>
          </w:tcPr>
          <w:p w14:paraId="54BB445D" w14:textId="77777777" w:rsidR="00E0010B" w:rsidRDefault="00E0010B" w:rsidP="008D2CB8">
            <w:pPr>
              <w:spacing w:after="120" w:line="259" w:lineRule="auto"/>
            </w:pPr>
          </w:p>
        </w:tc>
        <w:tc>
          <w:tcPr>
            <w:tcW w:w="1429" w:type="dxa"/>
          </w:tcPr>
          <w:p w14:paraId="2F3A7622" w14:textId="77777777" w:rsidR="00E0010B" w:rsidRDefault="00E0010B" w:rsidP="008D2CB8">
            <w:pPr>
              <w:spacing w:after="120" w:line="259" w:lineRule="auto"/>
              <w:rPr>
                <w:rFonts w:eastAsiaTheme="minorEastAsia"/>
              </w:rPr>
            </w:pPr>
            <w:r>
              <w:rPr>
                <w:rFonts w:eastAsiaTheme="minorEastAsia"/>
              </w:rPr>
              <w:t>Expected benefit(s)</w:t>
            </w:r>
          </w:p>
        </w:tc>
        <w:tc>
          <w:tcPr>
            <w:tcW w:w="1429" w:type="dxa"/>
          </w:tcPr>
          <w:p w14:paraId="70D2C1BA" w14:textId="77777777" w:rsidR="00E0010B" w:rsidRDefault="00E0010B" w:rsidP="008D2CB8">
            <w:pPr>
              <w:spacing w:after="120" w:line="259" w:lineRule="auto"/>
              <w:rPr>
                <w:rFonts w:eastAsiaTheme="minorEastAsia"/>
              </w:rPr>
            </w:pPr>
            <w:r>
              <w:rPr>
                <w:rFonts w:eastAsiaTheme="minorEastAsia"/>
              </w:rPr>
              <w:t>Expected limitation(s)</w:t>
            </w:r>
          </w:p>
        </w:tc>
        <w:tc>
          <w:tcPr>
            <w:tcW w:w="1709" w:type="dxa"/>
          </w:tcPr>
          <w:p w14:paraId="605EF26E" w14:textId="77777777" w:rsidR="00E0010B" w:rsidRDefault="00E0010B" w:rsidP="008D2CB8">
            <w:pPr>
              <w:spacing w:after="120" w:line="259" w:lineRule="auto"/>
            </w:pPr>
            <w:r>
              <w:rPr>
                <w:rFonts w:eastAsiaTheme="minorEastAsia"/>
              </w:rPr>
              <w:t>Expected RAN4 requirement impact</w:t>
            </w:r>
          </w:p>
        </w:tc>
        <w:tc>
          <w:tcPr>
            <w:tcW w:w="1709" w:type="dxa"/>
          </w:tcPr>
          <w:p w14:paraId="35875B86" w14:textId="77777777" w:rsidR="00E0010B" w:rsidRDefault="00E0010B" w:rsidP="008D2CB8">
            <w:pPr>
              <w:spacing w:after="120" w:line="259" w:lineRule="auto"/>
            </w:pPr>
            <w:r>
              <w:rPr>
                <w:rFonts w:eastAsiaTheme="minorEastAsia"/>
              </w:rPr>
              <w:t>Expected RAN2 requirement impact</w:t>
            </w:r>
          </w:p>
        </w:tc>
        <w:tc>
          <w:tcPr>
            <w:tcW w:w="1709" w:type="dxa"/>
          </w:tcPr>
          <w:p w14:paraId="24CEFD4C" w14:textId="77777777" w:rsidR="00E0010B" w:rsidRDefault="00E0010B" w:rsidP="008D2CB8">
            <w:pPr>
              <w:spacing w:after="120" w:line="259" w:lineRule="auto"/>
            </w:pPr>
            <w:r>
              <w:rPr>
                <w:rFonts w:eastAsiaTheme="minorEastAsia"/>
              </w:rPr>
              <w:t>Expected RAN3 requirement impact</w:t>
            </w:r>
          </w:p>
        </w:tc>
      </w:tr>
      <w:tr w:rsidR="00E0010B" w14:paraId="27173A21" w14:textId="77777777" w:rsidTr="008D2CB8">
        <w:tc>
          <w:tcPr>
            <w:tcW w:w="1644" w:type="dxa"/>
          </w:tcPr>
          <w:p w14:paraId="01EC8DA2" w14:textId="3281AC80" w:rsidR="00E0010B" w:rsidRDefault="00E0010B" w:rsidP="008D2CB8">
            <w:pPr>
              <w:spacing w:after="120" w:line="259" w:lineRule="auto"/>
            </w:pPr>
            <w:r>
              <w:t xml:space="preserve">Solution: </w:t>
            </w:r>
            <w:r w:rsidR="00455A09" w:rsidRPr="00455A09">
              <w:t>SBFD configuration is set by using DUD (40%, 20%, 40%), or DU (by putting UL subband away from victim channel)</w:t>
            </w:r>
          </w:p>
        </w:tc>
        <w:tc>
          <w:tcPr>
            <w:tcW w:w="1429" w:type="dxa"/>
          </w:tcPr>
          <w:p w14:paraId="6B022696" w14:textId="77777777" w:rsidR="00E0010B" w:rsidRDefault="00E0010B" w:rsidP="008D2CB8">
            <w:pPr>
              <w:spacing w:after="120" w:line="259" w:lineRule="auto"/>
            </w:pPr>
            <w:r>
              <w:t xml:space="preserve">Inter-UE CLI reduction </w:t>
            </w:r>
          </w:p>
        </w:tc>
        <w:tc>
          <w:tcPr>
            <w:tcW w:w="1429" w:type="dxa"/>
          </w:tcPr>
          <w:p w14:paraId="4C8F452D" w14:textId="5504F0D6" w:rsidR="00E0010B" w:rsidRDefault="00180F0A" w:rsidP="008D2CB8">
            <w:pPr>
              <w:spacing w:after="120" w:line="259" w:lineRule="auto"/>
            </w:pPr>
            <w:r>
              <w:t>Limiting deployment options for SBFD feature</w:t>
            </w:r>
            <w:r w:rsidR="00455A09">
              <w:t xml:space="preserve"> </w:t>
            </w:r>
          </w:p>
        </w:tc>
        <w:tc>
          <w:tcPr>
            <w:tcW w:w="1709" w:type="dxa"/>
          </w:tcPr>
          <w:p w14:paraId="2F5DA37E" w14:textId="698A6901" w:rsidR="00E0010B" w:rsidRDefault="00D6507E" w:rsidP="008D2CB8">
            <w:pPr>
              <w:spacing w:after="120" w:line="259" w:lineRule="auto"/>
            </w:pPr>
            <w:r>
              <w:t xml:space="preserve">Mandate </w:t>
            </w:r>
            <w:r w:rsidR="00180F0A">
              <w:t xml:space="preserve">a given SBFD configuration </w:t>
            </w:r>
            <w:r>
              <w:t>in RAN4 specs</w:t>
            </w:r>
          </w:p>
        </w:tc>
        <w:tc>
          <w:tcPr>
            <w:tcW w:w="1709" w:type="dxa"/>
          </w:tcPr>
          <w:p w14:paraId="3655F1F0" w14:textId="65C41418" w:rsidR="00E0010B" w:rsidRDefault="00D6507E" w:rsidP="008D2CB8">
            <w:pPr>
              <w:spacing w:after="120" w:line="259" w:lineRule="auto"/>
            </w:pPr>
            <w:r>
              <w:t>None</w:t>
            </w:r>
          </w:p>
        </w:tc>
        <w:tc>
          <w:tcPr>
            <w:tcW w:w="1709" w:type="dxa"/>
          </w:tcPr>
          <w:p w14:paraId="1A2F63E0" w14:textId="477B6DD5" w:rsidR="00E0010B" w:rsidRDefault="00D6507E" w:rsidP="008D2CB8">
            <w:pPr>
              <w:spacing w:after="120" w:line="259" w:lineRule="auto"/>
            </w:pPr>
            <w:r>
              <w:t>None</w:t>
            </w:r>
          </w:p>
        </w:tc>
      </w:tr>
    </w:tbl>
    <w:p w14:paraId="4C2A8D56" w14:textId="7F2613DD" w:rsidR="00D47B19" w:rsidRPr="00D47B19" w:rsidRDefault="00D47B19" w:rsidP="00D47B19">
      <w:pPr>
        <w:rPr>
          <w:lang w:val="en-GB"/>
        </w:rPr>
      </w:pPr>
    </w:p>
    <w:p w14:paraId="4E9A0921" w14:textId="4FF4825E" w:rsidR="00D47B19" w:rsidRDefault="00D47B19" w:rsidP="00D47B19">
      <w:pPr>
        <w:pStyle w:val="Heading2"/>
      </w:pPr>
      <w:r>
        <w:t xml:space="preserve">Solution 3: BS implementation solutions </w:t>
      </w:r>
    </w:p>
    <w:p w14:paraId="0BDE224A" w14:textId="42551E2C" w:rsidR="00FA0ED1" w:rsidRDefault="00FA0ED1" w:rsidP="00FA0ED1">
      <w:pPr>
        <w:rPr>
          <w:lang w:val="en-GB"/>
        </w:rPr>
      </w:pPr>
      <w:r>
        <w:rPr>
          <w:lang w:val="en-GB"/>
        </w:rPr>
        <w:t xml:space="preserve">The third solution entails BS-implementation techniques that could be considered to address the inter-UE CLI issue. </w:t>
      </w:r>
      <w:r w:rsidR="00D6111E">
        <w:rPr>
          <w:lang w:val="en-GB"/>
        </w:rPr>
        <w:t>If</w:t>
      </w:r>
      <w:r>
        <w:rPr>
          <w:lang w:val="en-GB"/>
        </w:rPr>
        <w:t xml:space="preserve"> the two networks belong to the same operator, an intuitive solution would be </w:t>
      </w:r>
      <w:r w:rsidR="009D1246">
        <w:rPr>
          <w:lang w:val="en-GB"/>
        </w:rPr>
        <w:t>avoiding</w:t>
      </w:r>
      <w:r>
        <w:rPr>
          <w:lang w:val="en-GB"/>
        </w:rPr>
        <w:t xml:space="preserve"> scheduling victim </w:t>
      </w:r>
      <w:r w:rsidR="005348F9">
        <w:rPr>
          <w:lang w:val="en-GB"/>
        </w:rPr>
        <w:t xml:space="preserve">legacy TDD UEs that might be in close geographical proximity of the </w:t>
      </w:r>
      <w:r w:rsidR="009759B4">
        <w:rPr>
          <w:lang w:val="en-GB"/>
        </w:rPr>
        <w:t xml:space="preserve">aggressor SBFD-aware UE. </w:t>
      </w:r>
      <w:r w:rsidR="00B5664B">
        <w:rPr>
          <w:lang w:val="en-GB"/>
        </w:rPr>
        <w:t xml:space="preserve">As an example, Figure </w:t>
      </w:r>
      <w:r w:rsidR="00890B68">
        <w:rPr>
          <w:lang w:val="en-GB"/>
        </w:rPr>
        <w:t xml:space="preserve">6 shows the example where in two cells, victim legacy UEs would fall in the same building/ cluster as the aggressor SBFD-aware UE. If the pair got scheduled </w:t>
      </w:r>
      <w:r w:rsidR="008C6147">
        <w:rPr>
          <w:lang w:val="en-GB"/>
        </w:rPr>
        <w:t xml:space="preserve">along with the SBFD-aware UEs, inter-UE CLI would be present. Avoiding scheduling those UEs in the same </w:t>
      </w:r>
      <w:r w:rsidR="003B2A99">
        <w:rPr>
          <w:lang w:val="en-GB"/>
        </w:rPr>
        <w:t>slot</w:t>
      </w:r>
      <w:r w:rsidR="008C6147">
        <w:rPr>
          <w:lang w:val="en-GB"/>
        </w:rPr>
        <w:t xml:space="preserve"> or even allocating them to further away resource blocks could be a viable solution to address this Issue. Such </w:t>
      </w:r>
      <w:r w:rsidR="00B56F16">
        <w:rPr>
          <w:lang w:val="en-GB"/>
        </w:rPr>
        <w:t xml:space="preserve">action would require that the victim UE conducts the CLI measurement and reports it to its serving BS, which </w:t>
      </w:r>
    </w:p>
    <w:p w14:paraId="3A2E953A" w14:textId="77777777" w:rsidR="00B5664B" w:rsidRDefault="009D1246" w:rsidP="00B5664B">
      <w:pPr>
        <w:keepNext/>
        <w:jc w:val="center"/>
      </w:pPr>
      <w:r>
        <w:rPr>
          <w:noProof/>
          <w:lang w:val="en-GB"/>
        </w:rPr>
        <w:lastRenderedPageBreak/>
        <w:drawing>
          <wp:inline distT="0" distB="0" distL="0" distR="0" wp14:anchorId="7126D92A" wp14:editId="5DA0F01D">
            <wp:extent cx="2404793" cy="1824226"/>
            <wp:effectExtent l="0" t="0" r="0" b="5080"/>
            <wp:docPr id="1093938726" name="Picture 6"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938726" name="Picture 6" descr="A screenshot of a video game&#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09558" cy="1827841"/>
                    </a:xfrm>
                    <a:prstGeom prst="rect">
                      <a:avLst/>
                    </a:prstGeom>
                    <a:noFill/>
                  </pic:spPr>
                </pic:pic>
              </a:graphicData>
            </a:graphic>
          </wp:inline>
        </w:drawing>
      </w:r>
    </w:p>
    <w:p w14:paraId="13CE886D" w14:textId="2193E1CA" w:rsidR="009D1246" w:rsidRDefault="00B5664B" w:rsidP="00B5664B">
      <w:pPr>
        <w:pStyle w:val="Caption"/>
        <w:jc w:val="center"/>
      </w:pPr>
      <w:r>
        <w:t xml:space="preserve">Figure </w:t>
      </w:r>
      <w:r>
        <w:fldChar w:fldCharType="begin"/>
      </w:r>
      <w:r>
        <w:instrText xml:space="preserve"> SEQ Figure \* ARABIC </w:instrText>
      </w:r>
      <w:r>
        <w:fldChar w:fldCharType="separate"/>
      </w:r>
      <w:r w:rsidR="00774AE7">
        <w:rPr>
          <w:noProof/>
        </w:rPr>
        <w:t>8</w:t>
      </w:r>
      <w:r>
        <w:fldChar w:fldCharType="end"/>
      </w:r>
      <w:r>
        <w:t xml:space="preserve"> </w:t>
      </w:r>
      <w:r w:rsidRPr="001216D6">
        <w:t xml:space="preserve">Depiction of SBFD-aware UE identification to </w:t>
      </w:r>
      <w:r>
        <w:t>address inter-UE CLI</w:t>
      </w:r>
    </w:p>
    <w:p w14:paraId="6CFB682E" w14:textId="074E1414" w:rsidR="003B2A99" w:rsidRPr="003B2A99" w:rsidRDefault="00311D65" w:rsidP="003B2A99">
      <w:r>
        <w:t xml:space="preserve">One example </w:t>
      </w:r>
      <w:r w:rsidR="003B2A99">
        <w:t xml:space="preserve">of such a scheduling-oriented approach </w:t>
      </w:r>
      <w:r w:rsidR="004872C3">
        <w:t xml:space="preserve">was investigated by </w:t>
      </w:r>
      <w:r w:rsidR="003B2A99" w:rsidRPr="002A21D0">
        <w:rPr>
          <w:lang w:val="en-GB"/>
        </w:rPr>
        <w:t xml:space="preserve">RAN1 </w:t>
      </w:r>
      <w:r w:rsidR="004872C3">
        <w:rPr>
          <w:lang w:val="en-GB"/>
        </w:rPr>
        <w:t>i</w:t>
      </w:r>
      <w:r w:rsidR="00CF15B6">
        <w:rPr>
          <w:lang w:val="en-GB"/>
        </w:rPr>
        <w:t xml:space="preserve">n </w:t>
      </w:r>
      <w:r w:rsidR="003B2A99">
        <w:rPr>
          <w:lang w:val="en-GB"/>
        </w:rPr>
        <w:t xml:space="preserve">Section 2 in R1-2401442, where </w:t>
      </w:r>
      <w:r w:rsidR="00CF15B6">
        <w:rPr>
          <w:lang w:val="en-GB"/>
        </w:rPr>
        <w:t>it was shown that</w:t>
      </w:r>
      <w:r w:rsidR="003B2A99">
        <w:rPr>
          <w:lang w:val="en-GB"/>
        </w:rPr>
        <w:t xml:space="preserve"> a</w:t>
      </w:r>
      <w:r w:rsidR="00CF15B6">
        <w:rPr>
          <w:lang w:val="en-GB"/>
        </w:rPr>
        <w:t>n</w:t>
      </w:r>
      <w:r w:rsidR="003B2A99" w:rsidRPr="00506B97">
        <w:rPr>
          <w:lang w:val="en-GB"/>
        </w:rPr>
        <w:t xml:space="preserve"> CLI-aware scheduling scheme shows up to 90% of DL performance degradation can be recovered as shown in</w:t>
      </w:r>
      <w:r w:rsidR="003B2A99">
        <w:rPr>
          <w:lang w:val="en-GB"/>
        </w:rPr>
        <w:t xml:space="preserve"> </w:t>
      </w:r>
      <w:r w:rsidR="00CF15B6">
        <w:rPr>
          <w:lang w:val="en-GB"/>
        </w:rPr>
        <w:t>Figure 8 below</w:t>
      </w:r>
      <w:r w:rsidR="003B2A99">
        <w:rPr>
          <w:lang w:val="en-GB"/>
        </w:rPr>
        <w:t xml:space="preserve">. For more info on the investigated inter-UE CLI handling schemes, the reader is kindly referred to Section 8.4 in TR 38.858. </w:t>
      </w:r>
      <w:r w:rsidR="00D6111E">
        <w:t>An overview of the cost/gain of solution 3 is given in Table 3.</w:t>
      </w:r>
    </w:p>
    <w:p w14:paraId="03D8AA12" w14:textId="77777777" w:rsidR="003B2A99" w:rsidRDefault="003B2A99" w:rsidP="003B2A99">
      <w:pPr>
        <w:keepNext/>
        <w:jc w:val="center"/>
      </w:pPr>
      <w:r>
        <w:rPr>
          <w:noProof/>
        </w:rPr>
        <w:drawing>
          <wp:inline distT="0" distB="0" distL="0" distR="0" wp14:anchorId="1E4FEE5C" wp14:editId="205F7C0B">
            <wp:extent cx="2570672" cy="2676872"/>
            <wp:effectExtent l="0" t="0" r="1270" b="9525"/>
            <wp:docPr id="674002579" name="Picture 674002579"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02579" name="Picture 1" descr="A comparison of a graph&#10;&#10;Description automatically generated with medium confidence"/>
                    <pic:cNvPicPr>
                      <a:picLocks noChangeAspect="1" noChangeArrowheads="1"/>
                    </pic:cNvPicPr>
                  </pic:nvPicPr>
                  <pic:blipFill rotWithShape="1">
                    <a:blip r:embed="rId21">
                      <a:extLst>
                        <a:ext uri="{28A0092B-C50C-407E-A947-70E740481C1C}">
                          <a14:useLocalDpi xmlns:a14="http://schemas.microsoft.com/office/drawing/2010/main" val="0"/>
                        </a:ext>
                      </a:extLst>
                    </a:blip>
                    <a:srcRect r="47997"/>
                    <a:stretch/>
                  </pic:blipFill>
                  <pic:spPr bwMode="auto">
                    <a:xfrm>
                      <a:off x="0" y="0"/>
                      <a:ext cx="2570672" cy="2676872"/>
                    </a:xfrm>
                    <a:prstGeom prst="rect">
                      <a:avLst/>
                    </a:prstGeom>
                    <a:noFill/>
                    <a:ln>
                      <a:noFill/>
                    </a:ln>
                    <a:extLst>
                      <a:ext uri="{53640926-AAD7-44D8-BBD7-CCE9431645EC}">
                        <a14:shadowObscured xmlns:a14="http://schemas.microsoft.com/office/drawing/2010/main"/>
                      </a:ext>
                    </a:extLst>
                  </pic:spPr>
                </pic:pic>
              </a:graphicData>
            </a:graphic>
          </wp:inline>
        </w:drawing>
      </w:r>
    </w:p>
    <w:p w14:paraId="0237AEF1" w14:textId="36CD65AC" w:rsidR="00CF15B6" w:rsidRPr="00CF15B6" w:rsidRDefault="003B2A99" w:rsidP="00CF15B6">
      <w:pPr>
        <w:pStyle w:val="Caption"/>
        <w:jc w:val="center"/>
      </w:pPr>
      <w:r>
        <w:t xml:space="preserve">Figure </w:t>
      </w:r>
      <w:r>
        <w:fldChar w:fldCharType="begin"/>
      </w:r>
      <w:r>
        <w:instrText xml:space="preserve"> SEQ Figure \* ARABIC </w:instrText>
      </w:r>
      <w:r>
        <w:fldChar w:fldCharType="separate"/>
      </w:r>
      <w:r w:rsidR="00774AE7">
        <w:rPr>
          <w:noProof/>
        </w:rPr>
        <w:t>9</w:t>
      </w:r>
      <w:r>
        <w:fldChar w:fldCharType="end"/>
      </w:r>
      <w:r>
        <w:t xml:space="preserve"> </w:t>
      </w:r>
      <w:r w:rsidRPr="00D572AE">
        <w:t>Recovery of DL Throughput loss with simple CLI-aware scheduler</w:t>
      </w:r>
      <w:r>
        <w:t xml:space="preserve"> [R1 2401442]</w:t>
      </w:r>
    </w:p>
    <w:p w14:paraId="3E2A0480" w14:textId="527E1890" w:rsidR="003B2A99" w:rsidRPr="00311D65" w:rsidRDefault="003B2A99" w:rsidP="003B2A99">
      <w:r w:rsidRPr="0079317E">
        <w:rPr>
          <w:b/>
          <w:bCs/>
          <w:u w:val="single"/>
        </w:rPr>
        <w:t>Observation</w:t>
      </w:r>
      <w:r w:rsidR="00D6111E">
        <w:rPr>
          <w:b/>
          <w:bCs/>
          <w:u w:val="single"/>
        </w:rPr>
        <w:t xml:space="preserve"> 12</w:t>
      </w:r>
      <w:r w:rsidRPr="0079317E">
        <w:rPr>
          <w:b/>
          <w:bCs/>
        </w:rPr>
        <w:t xml:space="preserve">: From our RAN1 studies, simple CLI-aware scheduler resulted in </w:t>
      </w:r>
      <w:r w:rsidRPr="0079317E">
        <w:rPr>
          <w:b/>
          <w:bCs/>
          <w:lang w:val="en-GB"/>
        </w:rPr>
        <w:t>up to 90% recovery of DL performance degradation from inter-UE CLI.</w:t>
      </w:r>
    </w:p>
    <w:p w14:paraId="53257226" w14:textId="77777777" w:rsidR="008A768C" w:rsidRDefault="008A768C" w:rsidP="008A768C">
      <w:pPr>
        <w:rPr>
          <w:lang w:val="en-GB"/>
        </w:rPr>
      </w:pPr>
    </w:p>
    <w:p w14:paraId="41700CBF" w14:textId="1D74F44A" w:rsidR="00CF15B6" w:rsidRDefault="00CF15B6" w:rsidP="00CF15B6">
      <w:pPr>
        <w:pStyle w:val="Caption"/>
        <w:keepNext/>
        <w:jc w:val="center"/>
      </w:pPr>
      <w:r>
        <w:t xml:space="preserve">Table </w:t>
      </w:r>
      <w:r>
        <w:fldChar w:fldCharType="begin"/>
      </w:r>
      <w:r>
        <w:instrText xml:space="preserve"> SEQ Table \* ARABIC </w:instrText>
      </w:r>
      <w:r>
        <w:fldChar w:fldCharType="separate"/>
      </w:r>
      <w:r w:rsidR="00A2104E">
        <w:rPr>
          <w:noProof/>
        </w:rPr>
        <w:t>3</w:t>
      </w:r>
      <w:r>
        <w:fldChar w:fldCharType="end"/>
      </w:r>
      <w:r w:rsidRPr="00B774D7">
        <w:t xml:space="preserve"> Feasibility analysis on </w:t>
      </w:r>
      <w:r>
        <w:t>BS-implementation</w:t>
      </w:r>
      <w:r w:rsidRPr="00B774D7">
        <w:t xml:space="preserve"> solution</w:t>
      </w:r>
    </w:p>
    <w:tbl>
      <w:tblPr>
        <w:tblStyle w:val="TableGrid"/>
        <w:tblW w:w="0" w:type="auto"/>
        <w:tblLook w:val="04A0" w:firstRow="1" w:lastRow="0" w:firstColumn="1" w:lastColumn="0" w:noHBand="0" w:noVBand="1"/>
      </w:tblPr>
      <w:tblGrid>
        <w:gridCol w:w="1644"/>
        <w:gridCol w:w="1429"/>
        <w:gridCol w:w="1429"/>
        <w:gridCol w:w="1709"/>
        <w:gridCol w:w="1709"/>
        <w:gridCol w:w="1709"/>
      </w:tblGrid>
      <w:tr w:rsidR="008A768C" w14:paraId="0F2E8435" w14:textId="77777777" w:rsidTr="008D2CB8">
        <w:tc>
          <w:tcPr>
            <w:tcW w:w="1644" w:type="dxa"/>
          </w:tcPr>
          <w:p w14:paraId="57427C70" w14:textId="77777777" w:rsidR="008A768C" w:rsidRDefault="008A768C" w:rsidP="008D2CB8">
            <w:pPr>
              <w:spacing w:after="120" w:line="259" w:lineRule="auto"/>
            </w:pPr>
          </w:p>
        </w:tc>
        <w:tc>
          <w:tcPr>
            <w:tcW w:w="1429" w:type="dxa"/>
          </w:tcPr>
          <w:p w14:paraId="2CACB4AC" w14:textId="77777777" w:rsidR="008A768C" w:rsidRDefault="008A768C" w:rsidP="008D2CB8">
            <w:pPr>
              <w:spacing w:after="120" w:line="259" w:lineRule="auto"/>
              <w:rPr>
                <w:rFonts w:eastAsiaTheme="minorEastAsia"/>
              </w:rPr>
            </w:pPr>
            <w:r>
              <w:rPr>
                <w:rFonts w:eastAsiaTheme="minorEastAsia"/>
              </w:rPr>
              <w:t>Expected benefit(s)</w:t>
            </w:r>
          </w:p>
        </w:tc>
        <w:tc>
          <w:tcPr>
            <w:tcW w:w="1429" w:type="dxa"/>
          </w:tcPr>
          <w:p w14:paraId="789BF81B" w14:textId="77777777" w:rsidR="008A768C" w:rsidRDefault="008A768C" w:rsidP="008D2CB8">
            <w:pPr>
              <w:spacing w:after="120" w:line="259" w:lineRule="auto"/>
              <w:rPr>
                <w:rFonts w:eastAsiaTheme="minorEastAsia"/>
              </w:rPr>
            </w:pPr>
            <w:r>
              <w:rPr>
                <w:rFonts w:eastAsiaTheme="minorEastAsia"/>
              </w:rPr>
              <w:t>Expected limitation(s)</w:t>
            </w:r>
          </w:p>
        </w:tc>
        <w:tc>
          <w:tcPr>
            <w:tcW w:w="1709" w:type="dxa"/>
          </w:tcPr>
          <w:p w14:paraId="128A2AE8" w14:textId="77777777" w:rsidR="008A768C" w:rsidRDefault="008A768C" w:rsidP="008D2CB8">
            <w:pPr>
              <w:spacing w:after="120" w:line="259" w:lineRule="auto"/>
            </w:pPr>
            <w:r>
              <w:rPr>
                <w:rFonts w:eastAsiaTheme="minorEastAsia"/>
              </w:rPr>
              <w:t>Expected RAN4 requirement impact</w:t>
            </w:r>
          </w:p>
        </w:tc>
        <w:tc>
          <w:tcPr>
            <w:tcW w:w="1709" w:type="dxa"/>
          </w:tcPr>
          <w:p w14:paraId="599CCCF0" w14:textId="77777777" w:rsidR="008A768C" w:rsidRDefault="008A768C" w:rsidP="008D2CB8">
            <w:pPr>
              <w:spacing w:after="120" w:line="259" w:lineRule="auto"/>
            </w:pPr>
            <w:r>
              <w:rPr>
                <w:rFonts w:eastAsiaTheme="minorEastAsia"/>
              </w:rPr>
              <w:t>Expected RAN2 requirement impact</w:t>
            </w:r>
          </w:p>
        </w:tc>
        <w:tc>
          <w:tcPr>
            <w:tcW w:w="1709" w:type="dxa"/>
          </w:tcPr>
          <w:p w14:paraId="6F6EF80A" w14:textId="77777777" w:rsidR="008A768C" w:rsidRDefault="008A768C" w:rsidP="008D2CB8">
            <w:pPr>
              <w:spacing w:after="120" w:line="259" w:lineRule="auto"/>
            </w:pPr>
            <w:r>
              <w:rPr>
                <w:rFonts w:eastAsiaTheme="minorEastAsia"/>
              </w:rPr>
              <w:t>Expected RAN3 requirement impact</w:t>
            </w:r>
          </w:p>
        </w:tc>
      </w:tr>
      <w:tr w:rsidR="008A768C" w14:paraId="53AA5222" w14:textId="77777777" w:rsidTr="008D2CB8">
        <w:tc>
          <w:tcPr>
            <w:tcW w:w="1644" w:type="dxa"/>
          </w:tcPr>
          <w:p w14:paraId="0692A060" w14:textId="29D27DEC" w:rsidR="008A768C" w:rsidRDefault="008A768C" w:rsidP="008D2CB8">
            <w:pPr>
              <w:spacing w:after="120" w:line="259" w:lineRule="auto"/>
            </w:pPr>
            <w:r>
              <w:t xml:space="preserve">Solution: </w:t>
            </w:r>
            <w:r w:rsidR="00327D26">
              <w:t xml:space="preserve">Scheduling-oriented solution (e.g., avoid victim UE close </w:t>
            </w:r>
            <w:r w:rsidR="00327D26">
              <w:lastRenderedPageBreak/>
              <w:t>to SBFD-aware UE scheduling)</w:t>
            </w:r>
          </w:p>
        </w:tc>
        <w:tc>
          <w:tcPr>
            <w:tcW w:w="1429" w:type="dxa"/>
          </w:tcPr>
          <w:p w14:paraId="421F426A" w14:textId="41D7523F" w:rsidR="008A768C" w:rsidRDefault="00976AD4" w:rsidP="008D2CB8">
            <w:pPr>
              <w:spacing w:after="120" w:line="259" w:lineRule="auto"/>
            </w:pPr>
            <w:r>
              <w:lastRenderedPageBreak/>
              <w:t xml:space="preserve">Inter-UE CLI reduction </w:t>
            </w:r>
          </w:p>
        </w:tc>
        <w:tc>
          <w:tcPr>
            <w:tcW w:w="1429" w:type="dxa"/>
          </w:tcPr>
          <w:p w14:paraId="4443B78C" w14:textId="59A041DE" w:rsidR="008A768C" w:rsidRDefault="00976AD4" w:rsidP="008D2CB8">
            <w:pPr>
              <w:spacing w:after="120" w:line="259" w:lineRule="auto"/>
            </w:pPr>
            <w:r>
              <w:t>Additional information exchange between BSs</w:t>
            </w:r>
            <w:r w:rsidR="00023968">
              <w:t xml:space="preserve"> </w:t>
            </w:r>
            <w:r w:rsidR="00023968">
              <w:lastRenderedPageBreak/>
              <w:t xml:space="preserve">to </w:t>
            </w:r>
            <w:r w:rsidR="00D6507E">
              <w:t xml:space="preserve">avoid inter-UE CLI. </w:t>
            </w:r>
          </w:p>
        </w:tc>
        <w:tc>
          <w:tcPr>
            <w:tcW w:w="1709" w:type="dxa"/>
          </w:tcPr>
          <w:p w14:paraId="74E543EF" w14:textId="60AA296B" w:rsidR="008A768C" w:rsidRDefault="00023968" w:rsidP="008D2CB8">
            <w:pPr>
              <w:spacing w:after="120" w:line="259" w:lineRule="auto"/>
            </w:pPr>
            <w:r>
              <w:lastRenderedPageBreak/>
              <w:t>None</w:t>
            </w:r>
          </w:p>
        </w:tc>
        <w:tc>
          <w:tcPr>
            <w:tcW w:w="1709" w:type="dxa"/>
          </w:tcPr>
          <w:p w14:paraId="1A6C0C02" w14:textId="049CF1F8" w:rsidR="008A768C" w:rsidRDefault="00023968" w:rsidP="008D2CB8">
            <w:pPr>
              <w:spacing w:after="120" w:line="259" w:lineRule="auto"/>
            </w:pPr>
            <w:r>
              <w:t xml:space="preserve">FFS if additional </w:t>
            </w:r>
            <w:r w:rsidR="00692A1A">
              <w:t>signaling</w:t>
            </w:r>
            <w:r>
              <w:t xml:space="preserve"> is needed between </w:t>
            </w:r>
            <w:r w:rsidR="00692A1A">
              <w:t xml:space="preserve">legacy and SBFD-capable BSs belonging to </w:t>
            </w:r>
            <w:r w:rsidR="00692A1A">
              <w:lastRenderedPageBreak/>
              <w:t>same/ different operator</w:t>
            </w:r>
            <w:r w:rsidR="00BE2448">
              <w:t>.</w:t>
            </w:r>
          </w:p>
        </w:tc>
        <w:tc>
          <w:tcPr>
            <w:tcW w:w="1709" w:type="dxa"/>
          </w:tcPr>
          <w:p w14:paraId="3E1556A8" w14:textId="13FB789F" w:rsidR="008A768C" w:rsidRDefault="00692A1A" w:rsidP="008D2CB8">
            <w:pPr>
              <w:spacing w:after="120" w:line="259" w:lineRule="auto"/>
            </w:pPr>
            <w:r>
              <w:lastRenderedPageBreak/>
              <w:t xml:space="preserve">FFS if additional signaling is needed between legacy and SBFD-capable BSs belonging to </w:t>
            </w:r>
            <w:r>
              <w:lastRenderedPageBreak/>
              <w:t>same/ different operator</w:t>
            </w:r>
            <w:r w:rsidR="00BE2448">
              <w:t>.</w:t>
            </w:r>
          </w:p>
        </w:tc>
      </w:tr>
    </w:tbl>
    <w:p w14:paraId="2C7673BA" w14:textId="77777777" w:rsidR="008A768C" w:rsidRPr="008A768C" w:rsidRDefault="008A768C" w:rsidP="008A768C">
      <w:pPr>
        <w:rPr>
          <w:lang w:val="en-GB"/>
        </w:rPr>
      </w:pPr>
    </w:p>
    <w:p w14:paraId="46DCD988" w14:textId="6EB6BEF1" w:rsidR="00A37CEF" w:rsidRDefault="00A37CEF" w:rsidP="00E9203B">
      <w:pPr>
        <w:pStyle w:val="Heading1"/>
      </w:pPr>
      <w:r>
        <w:t>Conclusion</w:t>
      </w:r>
    </w:p>
    <w:p w14:paraId="21920010" w14:textId="7AE10EC4" w:rsidR="00A37CEF" w:rsidRDefault="00A37CEF" w:rsidP="0003651D">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our views on </w:t>
      </w:r>
      <w:r w:rsidR="00662E4D">
        <w:t>general aspects</w:t>
      </w:r>
      <w:r w:rsidR="00CE7110">
        <w:t xml:space="preserve"> for SBFD </w:t>
      </w:r>
      <w:r w:rsidR="00662E4D">
        <w:t xml:space="preserve">operation </w:t>
      </w:r>
      <w:r w:rsidRPr="00A562B7">
        <w:t>with</w:t>
      </w:r>
      <w:r>
        <w:t xml:space="preserve"> the </w:t>
      </w:r>
      <w:r w:rsidRPr="00A562B7">
        <w:t>following</w:t>
      </w:r>
      <w:r>
        <w:t xml:space="preserve"> observations and </w:t>
      </w:r>
      <w:r w:rsidRPr="00A562B7">
        <w:t>proposals:</w:t>
      </w:r>
    </w:p>
    <w:p w14:paraId="0B836584" w14:textId="4ADA3EC9" w:rsidR="003B64E8" w:rsidRDefault="003B64E8" w:rsidP="0003651D">
      <w:pPr>
        <w:jc w:val="both"/>
        <w:rPr>
          <w:b/>
          <w:bCs/>
        </w:rPr>
      </w:pPr>
      <w:r w:rsidRPr="003B64E8">
        <w:rPr>
          <w:b/>
          <w:bCs/>
          <w:u w:val="single"/>
        </w:rPr>
        <w:t>Observation 1</w:t>
      </w:r>
      <w:r w:rsidRPr="003B64E8">
        <w:rPr>
          <w:b/>
          <w:bCs/>
        </w:rPr>
        <w:t xml:space="preserve">: </w:t>
      </w:r>
      <w:r>
        <w:rPr>
          <w:b/>
          <w:bCs/>
        </w:rPr>
        <w:t>One of the</w:t>
      </w:r>
      <w:r w:rsidRPr="003B64E8">
        <w:rPr>
          <w:b/>
          <w:bCs/>
        </w:rPr>
        <w:t xml:space="preserve"> interference source</w:t>
      </w:r>
      <w:r>
        <w:rPr>
          <w:b/>
          <w:bCs/>
        </w:rPr>
        <w:t>s</w:t>
      </w:r>
      <w:r w:rsidRPr="003B64E8">
        <w:rPr>
          <w:b/>
          <w:bCs/>
        </w:rPr>
        <w:t xml:space="preserve"> of the Urban Hotspot scenario is the inter-UE CLI from SBFD-aware UEs transmitting in the UL subband towards the adjacent legacy TDD UEs receiving DL transmissions.</w:t>
      </w:r>
    </w:p>
    <w:p w14:paraId="1E56F8CF" w14:textId="0FCDE4AB" w:rsidR="00DB55BC" w:rsidRDefault="00DB55BC" w:rsidP="00DB55BC">
      <w:pPr>
        <w:jc w:val="both"/>
        <w:rPr>
          <w:b/>
          <w:bCs/>
        </w:rPr>
      </w:pPr>
      <w:r w:rsidRPr="00E30B13">
        <w:rPr>
          <w:b/>
          <w:bCs/>
          <w:u w:val="single"/>
        </w:rPr>
        <w:t xml:space="preserve">Observation </w:t>
      </w:r>
      <w:r>
        <w:rPr>
          <w:b/>
          <w:bCs/>
          <w:u w:val="single"/>
        </w:rPr>
        <w:t>2</w:t>
      </w:r>
      <w:r w:rsidRPr="00B94D37">
        <w:rPr>
          <w:b/>
          <w:bCs/>
        </w:rPr>
        <w:t>: To investigate the inter-UE CLI case in a</w:t>
      </w:r>
      <w:r>
        <w:rPr>
          <w:b/>
          <w:bCs/>
        </w:rPr>
        <w:t xml:space="preserve">n extreme </w:t>
      </w:r>
      <w:r w:rsidRPr="00B94D37">
        <w:rPr>
          <w:b/>
          <w:bCs/>
        </w:rPr>
        <w:t>scenario, we consider each victim shares the cluster, in which UEs are dropped, with an aggressor cell</w:t>
      </w:r>
      <w:r>
        <w:rPr>
          <w:b/>
          <w:bCs/>
        </w:rPr>
        <w:t>.</w:t>
      </w:r>
    </w:p>
    <w:p w14:paraId="5D3B081D" w14:textId="77777777" w:rsidR="00F3474E" w:rsidRDefault="00F3474E" w:rsidP="00F3474E">
      <w:pPr>
        <w:rPr>
          <w:b/>
          <w:bCs/>
        </w:rPr>
      </w:pPr>
      <w:r w:rsidRPr="00EA57C6">
        <w:rPr>
          <w:b/>
          <w:bCs/>
          <w:u w:val="single"/>
        </w:rPr>
        <w:t>Observation</w:t>
      </w:r>
      <w:r>
        <w:rPr>
          <w:b/>
          <w:bCs/>
          <w:u w:val="single"/>
        </w:rPr>
        <w:t xml:space="preserve"> 3</w:t>
      </w:r>
      <w:r w:rsidRPr="00EA57C6">
        <w:rPr>
          <w:b/>
          <w:bCs/>
          <w:u w:val="single"/>
        </w:rPr>
        <w:t>:</w:t>
      </w:r>
      <w:r w:rsidRPr="00EA57C6">
        <w:rPr>
          <w:b/>
          <w:bCs/>
        </w:rPr>
        <w:t xml:space="preserve"> </w:t>
      </w:r>
      <w:r>
        <w:rPr>
          <w:b/>
          <w:bCs/>
        </w:rPr>
        <w:t>Based on Annex E assumptions,</w:t>
      </w:r>
      <w:r w:rsidRPr="00EA57C6">
        <w:rPr>
          <w:b/>
          <w:bCs/>
        </w:rPr>
        <w:t xml:space="preserve"> UEs falling in the same cluster will not experience any penetration losses, which </w:t>
      </w:r>
      <w:r>
        <w:rPr>
          <w:b/>
          <w:bCs/>
        </w:rPr>
        <w:t xml:space="preserve">ignores the fact </w:t>
      </w:r>
      <w:r w:rsidRPr="00EA57C6">
        <w:rPr>
          <w:b/>
          <w:bCs/>
        </w:rPr>
        <w:t xml:space="preserve">that there might be additional losses due to wall penetration or UEs scheduled being in different rooms/ floors. </w:t>
      </w:r>
    </w:p>
    <w:p w14:paraId="06094AD0" w14:textId="77777777" w:rsidR="00F3474E" w:rsidRPr="006D5601" w:rsidRDefault="00F3474E" w:rsidP="00F3474E">
      <w:pPr>
        <w:rPr>
          <w:b/>
          <w:bCs/>
        </w:rPr>
      </w:pPr>
      <w:r w:rsidRPr="00F3474E">
        <w:rPr>
          <w:b/>
          <w:bCs/>
          <w:u w:val="single"/>
        </w:rPr>
        <w:t>Observation 4</w:t>
      </w:r>
      <w:r w:rsidRPr="006D5601">
        <w:rPr>
          <w:b/>
          <w:bCs/>
        </w:rPr>
        <w:t xml:space="preserve">: Flat ACIR model with minimum RF requirements for UE ACLR/ACS can lead to over-estimation of the inter-UE CLI. </w:t>
      </w:r>
    </w:p>
    <w:p w14:paraId="3DAAC9CF" w14:textId="007895D4" w:rsidR="00B91542" w:rsidRPr="002E6A21" w:rsidRDefault="00B91542" w:rsidP="00B91542">
      <w:pPr>
        <w:rPr>
          <w:b/>
          <w:bCs/>
        </w:rPr>
      </w:pPr>
      <w:r w:rsidRPr="002E6A21">
        <w:rPr>
          <w:b/>
          <w:bCs/>
          <w:u w:val="single"/>
        </w:rPr>
        <w:t xml:space="preserve">Observation </w:t>
      </w:r>
      <w:r>
        <w:rPr>
          <w:b/>
          <w:bCs/>
          <w:u w:val="single"/>
        </w:rPr>
        <w:t>5</w:t>
      </w:r>
      <w:r w:rsidRPr="002E6A21">
        <w:rPr>
          <w:b/>
          <w:bCs/>
        </w:rPr>
        <w:t xml:space="preserve">: Based on assumptions given in Annex E TR 38.858, along with flat baseline ACLR/ACS </w:t>
      </w:r>
      <w:r>
        <w:rPr>
          <w:b/>
          <w:bCs/>
        </w:rPr>
        <w:t xml:space="preserve">with minimum RF requirements, no penetration loss between UEs in the same cluster </w:t>
      </w:r>
      <w:r w:rsidRPr="002E6A21">
        <w:rPr>
          <w:b/>
          <w:bCs/>
        </w:rPr>
        <w:t xml:space="preserve">and 0 % grid shift, we have observed throughput loss due to inter-UE CLI when SBFD is operating in the adjacent channel. </w:t>
      </w:r>
    </w:p>
    <w:p w14:paraId="07A1CC32" w14:textId="77777777" w:rsidR="00256638" w:rsidRPr="0005738D" w:rsidRDefault="00256638" w:rsidP="00256638">
      <w:pPr>
        <w:rPr>
          <w:b/>
          <w:bCs/>
        </w:rPr>
      </w:pPr>
      <w:r w:rsidRPr="00B91542">
        <w:rPr>
          <w:b/>
          <w:bCs/>
          <w:u w:val="single"/>
        </w:rPr>
        <w:t>Observation 6</w:t>
      </w:r>
      <w:r w:rsidRPr="0005738D">
        <w:rPr>
          <w:b/>
          <w:bCs/>
        </w:rPr>
        <w:t xml:space="preserve">: The throughput degradation due to inter-UE CLI is sensitive to the UE deployment and clustering assumption as well as the % of UEs that are dropped indoor/ within a cluster. </w:t>
      </w:r>
    </w:p>
    <w:p w14:paraId="3D24A6CF" w14:textId="77777777" w:rsidR="006847F6" w:rsidRPr="00BF0791" w:rsidRDefault="006847F6" w:rsidP="006847F6">
      <w:pPr>
        <w:rPr>
          <w:b/>
          <w:bCs/>
          <w:lang w:val="en-GB"/>
        </w:rPr>
      </w:pPr>
      <w:r w:rsidRPr="006F4861">
        <w:rPr>
          <w:b/>
          <w:bCs/>
          <w:u w:val="single"/>
          <w:lang w:val="en-GB"/>
        </w:rPr>
        <w:t>Observation 7</w:t>
      </w:r>
      <w:r w:rsidRPr="00BF0791">
        <w:rPr>
          <w:b/>
          <w:bCs/>
          <w:lang w:val="en-GB"/>
        </w:rPr>
        <w:t xml:space="preserve">: There exists no methodology to identify </w:t>
      </w:r>
      <w:r>
        <w:rPr>
          <w:b/>
          <w:bCs/>
          <w:lang w:val="en-GB"/>
        </w:rPr>
        <w:t xml:space="preserve">the </w:t>
      </w:r>
      <w:r w:rsidRPr="00BF0791">
        <w:rPr>
          <w:b/>
          <w:bCs/>
          <w:lang w:val="en-GB"/>
        </w:rPr>
        <w:t>set of interfering SBFD-aware UEs to the victim TDD UEs.</w:t>
      </w:r>
    </w:p>
    <w:p w14:paraId="0E518878" w14:textId="77777777" w:rsidR="00312BE2" w:rsidRDefault="00312BE2" w:rsidP="00312BE2">
      <w:pPr>
        <w:rPr>
          <w:b/>
          <w:bCs/>
        </w:rPr>
      </w:pPr>
      <w:r w:rsidRPr="00312BE2">
        <w:rPr>
          <w:b/>
          <w:bCs/>
          <w:u w:val="single"/>
        </w:rPr>
        <w:t>Observation 8</w:t>
      </w:r>
      <w:r w:rsidRPr="00CF79DE">
        <w:rPr>
          <w:b/>
          <w:bCs/>
        </w:rPr>
        <w:t>: With p-Max reduction, TP-loss reduction can be achieved due to lower inter-UE CLI interference, however, such reduction comes with the cost of SBFD UL network performance degradation.</w:t>
      </w:r>
    </w:p>
    <w:p w14:paraId="550FE714" w14:textId="77777777" w:rsidR="00921D0C" w:rsidRDefault="00921D0C" w:rsidP="00921D0C">
      <w:pPr>
        <w:rPr>
          <w:b/>
          <w:bCs/>
        </w:rPr>
      </w:pPr>
      <w:r w:rsidRPr="00312BE2">
        <w:rPr>
          <w:b/>
          <w:bCs/>
          <w:u w:val="single"/>
        </w:rPr>
        <w:t>Observation 9</w:t>
      </w:r>
      <w:r>
        <w:rPr>
          <w:b/>
          <w:bCs/>
          <w:u w:val="single"/>
        </w:rPr>
        <w:t>a</w:t>
      </w:r>
      <w:r>
        <w:rPr>
          <w:b/>
          <w:bCs/>
        </w:rPr>
        <w:t xml:space="preserve">: If this solution is agreed by RAN4, more analysis is needed to derive meaningful X dB values for the different power classes for FR1 deployments. </w:t>
      </w:r>
    </w:p>
    <w:p w14:paraId="5E20C66D" w14:textId="77777777" w:rsidR="00921D0C" w:rsidRDefault="00921D0C" w:rsidP="00921D0C">
      <w:pPr>
        <w:rPr>
          <w:b/>
          <w:bCs/>
        </w:rPr>
      </w:pPr>
      <w:r w:rsidRPr="00312BE2">
        <w:rPr>
          <w:b/>
          <w:bCs/>
          <w:u w:val="single"/>
        </w:rPr>
        <w:t>Observation 9</w:t>
      </w:r>
      <w:r>
        <w:rPr>
          <w:b/>
          <w:bCs/>
          <w:u w:val="single"/>
        </w:rPr>
        <w:t>b</w:t>
      </w:r>
      <w:r>
        <w:rPr>
          <w:b/>
          <w:bCs/>
        </w:rPr>
        <w:t xml:space="preserve">: If this solution is agreed by RAN4, it </w:t>
      </w:r>
      <w:proofErr w:type="gramStart"/>
      <w:r>
        <w:rPr>
          <w:b/>
          <w:bCs/>
        </w:rPr>
        <w:t>has to</w:t>
      </w:r>
      <w:proofErr w:type="gramEnd"/>
      <w:r>
        <w:rPr>
          <w:b/>
          <w:bCs/>
        </w:rPr>
        <w:t xml:space="preserve"> be UE configured, in order not to impact all SBFD-aware UEs. </w:t>
      </w:r>
    </w:p>
    <w:p w14:paraId="240EB3EB" w14:textId="77777777" w:rsidR="00D6111E" w:rsidRPr="00310611" w:rsidRDefault="00D6111E" w:rsidP="00D6111E">
      <w:r w:rsidRPr="00312BE2">
        <w:rPr>
          <w:b/>
          <w:bCs/>
          <w:u w:val="single"/>
        </w:rPr>
        <w:t xml:space="preserve">Observation </w:t>
      </w:r>
      <w:r>
        <w:rPr>
          <w:b/>
          <w:bCs/>
          <w:u w:val="single"/>
        </w:rPr>
        <w:t>10</w:t>
      </w:r>
      <w:r>
        <w:rPr>
          <w:b/>
          <w:bCs/>
        </w:rPr>
        <w:t>: Mandating DUD configuration might be limiting to SBFD deployments.</w:t>
      </w:r>
    </w:p>
    <w:p w14:paraId="1AAEAAED" w14:textId="77777777" w:rsidR="00D6111E" w:rsidRDefault="00D6111E" w:rsidP="00D6111E">
      <w:pPr>
        <w:rPr>
          <w:b/>
          <w:bCs/>
        </w:rPr>
      </w:pPr>
      <w:r w:rsidRPr="00D6111E">
        <w:rPr>
          <w:b/>
          <w:bCs/>
          <w:u w:val="single"/>
        </w:rPr>
        <w:t>Observation 11</w:t>
      </w:r>
      <w:r>
        <w:rPr>
          <w:b/>
          <w:bCs/>
        </w:rPr>
        <w:t xml:space="preserve">: Underlying assumptions on the SBFD configuration affect the experienced inter-UE CLI. Adopting ACIR2 or ACIR3 in the simulation provided gains in terms of inter-UE CLI reduction. </w:t>
      </w:r>
    </w:p>
    <w:p w14:paraId="03DA7409" w14:textId="77777777" w:rsidR="00D6111E" w:rsidRPr="00311D65" w:rsidRDefault="00D6111E" w:rsidP="00D6111E">
      <w:r w:rsidRPr="0079317E">
        <w:rPr>
          <w:b/>
          <w:bCs/>
          <w:u w:val="single"/>
        </w:rPr>
        <w:t>Observation</w:t>
      </w:r>
      <w:r>
        <w:rPr>
          <w:b/>
          <w:bCs/>
          <w:u w:val="single"/>
        </w:rPr>
        <w:t xml:space="preserve"> 12</w:t>
      </w:r>
      <w:r w:rsidRPr="0079317E">
        <w:rPr>
          <w:b/>
          <w:bCs/>
        </w:rPr>
        <w:t xml:space="preserve">: From our RAN1 studies, simple CLI-aware scheduler resulted in </w:t>
      </w:r>
      <w:r w:rsidRPr="0079317E">
        <w:rPr>
          <w:b/>
          <w:bCs/>
          <w:lang w:val="en-GB"/>
        </w:rPr>
        <w:t>up to 90% recovery of DL performance degradation from inter-UE CLI.</w:t>
      </w:r>
    </w:p>
    <w:p w14:paraId="1118F8B1" w14:textId="189E0D1D" w:rsidR="00F3474E" w:rsidRDefault="00D6111E" w:rsidP="00F3474E">
      <w:pPr>
        <w:rPr>
          <w:b/>
          <w:bCs/>
        </w:rPr>
      </w:pPr>
      <w:r w:rsidRPr="00720B55">
        <w:rPr>
          <w:b/>
          <w:bCs/>
          <w:u w:val="single"/>
        </w:rPr>
        <w:t>Observation 13</w:t>
      </w:r>
      <w:r>
        <w:rPr>
          <w:b/>
          <w:bCs/>
        </w:rPr>
        <w:t>: Summary of the cost/ gain analysis of the different solutions is as follows:</w:t>
      </w:r>
    </w:p>
    <w:tbl>
      <w:tblPr>
        <w:tblStyle w:val="TableGrid"/>
        <w:tblW w:w="0" w:type="auto"/>
        <w:tblLook w:val="04A0" w:firstRow="1" w:lastRow="0" w:firstColumn="1" w:lastColumn="0" w:noHBand="0" w:noVBand="1"/>
      </w:tblPr>
      <w:tblGrid>
        <w:gridCol w:w="1644"/>
        <w:gridCol w:w="1429"/>
        <w:gridCol w:w="1429"/>
        <w:gridCol w:w="1709"/>
        <w:gridCol w:w="1709"/>
        <w:gridCol w:w="1709"/>
      </w:tblGrid>
      <w:tr w:rsidR="00D6111E" w14:paraId="3EE4B320" w14:textId="77777777" w:rsidTr="008D2CB8">
        <w:tc>
          <w:tcPr>
            <w:tcW w:w="1644" w:type="dxa"/>
          </w:tcPr>
          <w:p w14:paraId="4F0913B7" w14:textId="77777777" w:rsidR="00D6111E" w:rsidRDefault="00D6111E" w:rsidP="008D2CB8">
            <w:pPr>
              <w:spacing w:after="120" w:line="259" w:lineRule="auto"/>
            </w:pPr>
          </w:p>
        </w:tc>
        <w:tc>
          <w:tcPr>
            <w:tcW w:w="1429" w:type="dxa"/>
          </w:tcPr>
          <w:p w14:paraId="2A46345D" w14:textId="77777777" w:rsidR="00D6111E" w:rsidRDefault="00D6111E" w:rsidP="008D2CB8">
            <w:pPr>
              <w:spacing w:after="120" w:line="259" w:lineRule="auto"/>
              <w:rPr>
                <w:rFonts w:eastAsiaTheme="minorEastAsia"/>
              </w:rPr>
            </w:pPr>
            <w:r>
              <w:rPr>
                <w:rFonts w:eastAsiaTheme="minorEastAsia"/>
              </w:rPr>
              <w:t>Expected benefit(s)</w:t>
            </w:r>
          </w:p>
        </w:tc>
        <w:tc>
          <w:tcPr>
            <w:tcW w:w="1429" w:type="dxa"/>
          </w:tcPr>
          <w:p w14:paraId="6253A84D" w14:textId="77777777" w:rsidR="00D6111E" w:rsidRDefault="00D6111E" w:rsidP="008D2CB8">
            <w:pPr>
              <w:spacing w:after="120" w:line="259" w:lineRule="auto"/>
              <w:rPr>
                <w:rFonts w:eastAsiaTheme="minorEastAsia"/>
              </w:rPr>
            </w:pPr>
            <w:r>
              <w:rPr>
                <w:rFonts w:eastAsiaTheme="minorEastAsia"/>
              </w:rPr>
              <w:t>Expected limitation(s)</w:t>
            </w:r>
          </w:p>
        </w:tc>
        <w:tc>
          <w:tcPr>
            <w:tcW w:w="1709" w:type="dxa"/>
          </w:tcPr>
          <w:p w14:paraId="3E6C8DFB" w14:textId="77777777" w:rsidR="00D6111E" w:rsidRDefault="00D6111E" w:rsidP="008D2CB8">
            <w:pPr>
              <w:spacing w:after="120" w:line="259" w:lineRule="auto"/>
            </w:pPr>
            <w:r>
              <w:rPr>
                <w:rFonts w:eastAsiaTheme="minorEastAsia"/>
              </w:rPr>
              <w:t>Expected RAN4 requirement impact</w:t>
            </w:r>
          </w:p>
        </w:tc>
        <w:tc>
          <w:tcPr>
            <w:tcW w:w="1709" w:type="dxa"/>
          </w:tcPr>
          <w:p w14:paraId="658FA143" w14:textId="77777777" w:rsidR="00D6111E" w:rsidRDefault="00D6111E" w:rsidP="008D2CB8">
            <w:pPr>
              <w:spacing w:after="120" w:line="259" w:lineRule="auto"/>
            </w:pPr>
            <w:r>
              <w:rPr>
                <w:rFonts w:eastAsiaTheme="minorEastAsia"/>
              </w:rPr>
              <w:t>Expected RAN2 requirement impact</w:t>
            </w:r>
          </w:p>
        </w:tc>
        <w:tc>
          <w:tcPr>
            <w:tcW w:w="1709" w:type="dxa"/>
          </w:tcPr>
          <w:p w14:paraId="522A6154" w14:textId="77777777" w:rsidR="00D6111E" w:rsidRDefault="00D6111E" w:rsidP="008D2CB8">
            <w:pPr>
              <w:spacing w:after="120" w:line="259" w:lineRule="auto"/>
            </w:pPr>
            <w:r>
              <w:rPr>
                <w:rFonts w:eastAsiaTheme="minorEastAsia"/>
              </w:rPr>
              <w:t>Expected RAN3 requirement impact</w:t>
            </w:r>
          </w:p>
        </w:tc>
      </w:tr>
      <w:tr w:rsidR="00D6111E" w14:paraId="5C7B58A4" w14:textId="77777777" w:rsidTr="008D2CB8">
        <w:tc>
          <w:tcPr>
            <w:tcW w:w="1644" w:type="dxa"/>
          </w:tcPr>
          <w:p w14:paraId="4C20F51D" w14:textId="50DDE31B" w:rsidR="00D6111E" w:rsidRDefault="00D6111E" w:rsidP="00D6111E">
            <w:pPr>
              <w:spacing w:after="120" w:line="259" w:lineRule="auto"/>
            </w:pPr>
            <w:r>
              <w:t xml:space="preserve">Solution: Reduced p-Max for SBFD-aware </w:t>
            </w:r>
            <w:r>
              <w:lastRenderedPageBreak/>
              <w:t>UE Tx power</w:t>
            </w:r>
            <w:r w:rsidRPr="00455A09">
              <w:t xml:space="preserve"> from victim channel)</w:t>
            </w:r>
          </w:p>
        </w:tc>
        <w:tc>
          <w:tcPr>
            <w:tcW w:w="1429" w:type="dxa"/>
          </w:tcPr>
          <w:p w14:paraId="27684462" w14:textId="6B5E5501" w:rsidR="00D6111E" w:rsidRDefault="00D6111E" w:rsidP="00D6111E">
            <w:pPr>
              <w:spacing w:after="120" w:line="259" w:lineRule="auto"/>
              <w:rPr>
                <w:rFonts w:eastAsiaTheme="minorEastAsia"/>
              </w:rPr>
            </w:pPr>
            <w:r>
              <w:lastRenderedPageBreak/>
              <w:t xml:space="preserve">Inter-UE CLI reduction </w:t>
            </w:r>
          </w:p>
        </w:tc>
        <w:tc>
          <w:tcPr>
            <w:tcW w:w="1429" w:type="dxa"/>
          </w:tcPr>
          <w:p w14:paraId="66143E30" w14:textId="1CEFEB2C" w:rsidR="00D6111E" w:rsidRDefault="00D6111E" w:rsidP="00D6111E">
            <w:pPr>
              <w:spacing w:after="120" w:line="259" w:lineRule="auto"/>
              <w:rPr>
                <w:rFonts w:eastAsiaTheme="minorEastAsia"/>
              </w:rPr>
            </w:pPr>
            <w:r>
              <w:t xml:space="preserve">Degradation in SBFD-UL </w:t>
            </w:r>
            <w:r>
              <w:lastRenderedPageBreak/>
              <w:t xml:space="preserve">network performance  </w:t>
            </w:r>
          </w:p>
        </w:tc>
        <w:tc>
          <w:tcPr>
            <w:tcW w:w="1709" w:type="dxa"/>
          </w:tcPr>
          <w:p w14:paraId="31A2A86E" w14:textId="3B1DA85D" w:rsidR="00D6111E" w:rsidRDefault="00D6111E" w:rsidP="00D6111E">
            <w:pPr>
              <w:spacing w:after="120" w:line="259" w:lineRule="auto"/>
              <w:rPr>
                <w:rFonts w:eastAsiaTheme="minorEastAsia"/>
              </w:rPr>
            </w:pPr>
            <w:r>
              <w:lastRenderedPageBreak/>
              <w:t xml:space="preserve">Derive max power reduction values for different UE </w:t>
            </w:r>
            <w:r>
              <w:lastRenderedPageBreak/>
              <w:t>power classes and modifications to TS 38.101-1.</w:t>
            </w:r>
          </w:p>
        </w:tc>
        <w:tc>
          <w:tcPr>
            <w:tcW w:w="1709" w:type="dxa"/>
          </w:tcPr>
          <w:p w14:paraId="48245A81" w14:textId="7BD0C628" w:rsidR="00D6111E" w:rsidRDefault="00D6111E" w:rsidP="00D6111E">
            <w:pPr>
              <w:spacing w:after="120" w:line="259" w:lineRule="auto"/>
              <w:rPr>
                <w:rFonts w:eastAsiaTheme="minorEastAsia"/>
              </w:rPr>
            </w:pPr>
            <w:r>
              <w:lastRenderedPageBreak/>
              <w:t xml:space="preserve">FFS on additional signaling needed to identify set of </w:t>
            </w:r>
            <w:r>
              <w:lastRenderedPageBreak/>
              <w:t xml:space="preserve">interfering SBFD-aware UEs. </w:t>
            </w:r>
          </w:p>
        </w:tc>
        <w:tc>
          <w:tcPr>
            <w:tcW w:w="1709" w:type="dxa"/>
          </w:tcPr>
          <w:p w14:paraId="35B0D8D6" w14:textId="134EEC96" w:rsidR="00D6111E" w:rsidRDefault="00D6111E" w:rsidP="00D6111E">
            <w:pPr>
              <w:spacing w:after="120" w:line="259" w:lineRule="auto"/>
              <w:rPr>
                <w:rFonts w:eastAsiaTheme="minorEastAsia"/>
              </w:rPr>
            </w:pPr>
            <w:r>
              <w:lastRenderedPageBreak/>
              <w:t xml:space="preserve">FFS on additional signaling needed to identify set of </w:t>
            </w:r>
            <w:r>
              <w:lastRenderedPageBreak/>
              <w:t>interfering SBFD-aware UEs.</w:t>
            </w:r>
          </w:p>
        </w:tc>
      </w:tr>
      <w:tr w:rsidR="00D6111E" w14:paraId="7FF17582" w14:textId="77777777" w:rsidTr="008D2CB8">
        <w:tc>
          <w:tcPr>
            <w:tcW w:w="1644" w:type="dxa"/>
          </w:tcPr>
          <w:p w14:paraId="78689150" w14:textId="1287A048" w:rsidR="00D6111E" w:rsidRDefault="00D6111E" w:rsidP="00D6111E">
            <w:pPr>
              <w:spacing w:after="120" w:line="259" w:lineRule="auto"/>
            </w:pPr>
            <w:r>
              <w:lastRenderedPageBreak/>
              <w:t xml:space="preserve">Solution: </w:t>
            </w:r>
            <w:r w:rsidRPr="00455A09">
              <w:t>SBFD configuration is set by using DUD (40%, 20%, 40%), or DU (by putting UL subband away from victim channel)</w:t>
            </w:r>
          </w:p>
        </w:tc>
        <w:tc>
          <w:tcPr>
            <w:tcW w:w="1429" w:type="dxa"/>
          </w:tcPr>
          <w:p w14:paraId="5E9B907D" w14:textId="781C9490" w:rsidR="00D6111E" w:rsidRDefault="00D6111E" w:rsidP="00D6111E">
            <w:pPr>
              <w:spacing w:after="120" w:line="259" w:lineRule="auto"/>
              <w:rPr>
                <w:rFonts w:eastAsiaTheme="minorEastAsia"/>
              </w:rPr>
            </w:pPr>
            <w:r>
              <w:t xml:space="preserve">Inter-UE CLI reduction </w:t>
            </w:r>
          </w:p>
        </w:tc>
        <w:tc>
          <w:tcPr>
            <w:tcW w:w="1429" w:type="dxa"/>
          </w:tcPr>
          <w:p w14:paraId="1102F0F1" w14:textId="7B7C512B" w:rsidR="00D6111E" w:rsidRDefault="00D6111E" w:rsidP="00D6111E">
            <w:pPr>
              <w:spacing w:after="120" w:line="259" w:lineRule="auto"/>
              <w:rPr>
                <w:rFonts w:eastAsiaTheme="minorEastAsia"/>
              </w:rPr>
            </w:pPr>
            <w:r>
              <w:t xml:space="preserve">Limiting deployment options for SBFD feature </w:t>
            </w:r>
          </w:p>
        </w:tc>
        <w:tc>
          <w:tcPr>
            <w:tcW w:w="1709" w:type="dxa"/>
          </w:tcPr>
          <w:p w14:paraId="38E205BF" w14:textId="6B42DE5F" w:rsidR="00D6111E" w:rsidRDefault="00D6111E" w:rsidP="00D6111E">
            <w:pPr>
              <w:spacing w:after="120" w:line="259" w:lineRule="auto"/>
              <w:rPr>
                <w:rFonts w:eastAsiaTheme="minorEastAsia"/>
              </w:rPr>
            </w:pPr>
            <w:r>
              <w:t>Mandate a given SBFD configuration in RAN4 specs</w:t>
            </w:r>
          </w:p>
        </w:tc>
        <w:tc>
          <w:tcPr>
            <w:tcW w:w="1709" w:type="dxa"/>
          </w:tcPr>
          <w:p w14:paraId="52035311" w14:textId="7F59D72C" w:rsidR="00D6111E" w:rsidRDefault="00D6111E" w:rsidP="00D6111E">
            <w:pPr>
              <w:spacing w:after="120" w:line="259" w:lineRule="auto"/>
              <w:rPr>
                <w:rFonts w:eastAsiaTheme="minorEastAsia"/>
              </w:rPr>
            </w:pPr>
            <w:r>
              <w:t>None</w:t>
            </w:r>
          </w:p>
        </w:tc>
        <w:tc>
          <w:tcPr>
            <w:tcW w:w="1709" w:type="dxa"/>
          </w:tcPr>
          <w:p w14:paraId="6496957B" w14:textId="34A0AC25" w:rsidR="00D6111E" w:rsidRDefault="00D6111E" w:rsidP="00D6111E">
            <w:pPr>
              <w:spacing w:after="120" w:line="259" w:lineRule="auto"/>
              <w:rPr>
                <w:rFonts w:eastAsiaTheme="minorEastAsia"/>
              </w:rPr>
            </w:pPr>
            <w:r>
              <w:t>None</w:t>
            </w:r>
          </w:p>
        </w:tc>
      </w:tr>
      <w:tr w:rsidR="00D6111E" w14:paraId="68687DF3" w14:textId="77777777" w:rsidTr="008D2CB8">
        <w:tc>
          <w:tcPr>
            <w:tcW w:w="1644" w:type="dxa"/>
          </w:tcPr>
          <w:p w14:paraId="66B8A3C5" w14:textId="77777777" w:rsidR="00D6111E" w:rsidRDefault="00D6111E" w:rsidP="00D6111E">
            <w:pPr>
              <w:spacing w:after="120" w:line="259" w:lineRule="auto"/>
            </w:pPr>
            <w:r>
              <w:t>Solution: Scheduling-oriented solution (e.g., avoid victim UE close to SBFD-aware UE scheduling)</w:t>
            </w:r>
          </w:p>
        </w:tc>
        <w:tc>
          <w:tcPr>
            <w:tcW w:w="1429" w:type="dxa"/>
          </w:tcPr>
          <w:p w14:paraId="546FB1E7" w14:textId="77777777" w:rsidR="00D6111E" w:rsidRDefault="00D6111E" w:rsidP="00D6111E">
            <w:pPr>
              <w:spacing w:after="120" w:line="259" w:lineRule="auto"/>
            </w:pPr>
            <w:r>
              <w:t xml:space="preserve">Inter-UE CLI reduction </w:t>
            </w:r>
          </w:p>
        </w:tc>
        <w:tc>
          <w:tcPr>
            <w:tcW w:w="1429" w:type="dxa"/>
          </w:tcPr>
          <w:p w14:paraId="5C08D5FD" w14:textId="77777777" w:rsidR="00D6111E" w:rsidRDefault="00D6111E" w:rsidP="00D6111E">
            <w:pPr>
              <w:spacing w:after="120" w:line="259" w:lineRule="auto"/>
            </w:pPr>
            <w:r>
              <w:t xml:space="preserve">Additional information exchange between BSs to avoid inter-UE CLI. </w:t>
            </w:r>
          </w:p>
        </w:tc>
        <w:tc>
          <w:tcPr>
            <w:tcW w:w="1709" w:type="dxa"/>
          </w:tcPr>
          <w:p w14:paraId="5A063A67" w14:textId="77777777" w:rsidR="00D6111E" w:rsidRDefault="00D6111E" w:rsidP="00D6111E">
            <w:pPr>
              <w:spacing w:after="120" w:line="259" w:lineRule="auto"/>
            </w:pPr>
            <w:r>
              <w:t>None</w:t>
            </w:r>
          </w:p>
        </w:tc>
        <w:tc>
          <w:tcPr>
            <w:tcW w:w="1709" w:type="dxa"/>
          </w:tcPr>
          <w:p w14:paraId="3BFB660C" w14:textId="77777777" w:rsidR="00D6111E" w:rsidRDefault="00D6111E" w:rsidP="00D6111E">
            <w:pPr>
              <w:spacing w:after="120" w:line="259" w:lineRule="auto"/>
            </w:pPr>
            <w:r>
              <w:t>FFS if additional signaling is needed between legacy and SBFD-capable BSs belonging to same/ different operator.</w:t>
            </w:r>
          </w:p>
        </w:tc>
        <w:tc>
          <w:tcPr>
            <w:tcW w:w="1709" w:type="dxa"/>
          </w:tcPr>
          <w:p w14:paraId="3686B207" w14:textId="77777777" w:rsidR="00D6111E" w:rsidRDefault="00D6111E" w:rsidP="00D6111E">
            <w:pPr>
              <w:spacing w:after="120" w:line="259" w:lineRule="auto"/>
            </w:pPr>
            <w:r>
              <w:t>FFS if additional signaling is needed between legacy and SBFD-capable BSs belonging to same/ different operator.</w:t>
            </w:r>
          </w:p>
        </w:tc>
      </w:tr>
    </w:tbl>
    <w:p w14:paraId="0363FC75" w14:textId="77777777" w:rsidR="003B64E8" w:rsidRDefault="003B64E8" w:rsidP="0003651D">
      <w:pPr>
        <w:jc w:val="both"/>
      </w:pPr>
    </w:p>
    <w:p w14:paraId="2B7C1C2C" w14:textId="77777777" w:rsidR="00A37CEF" w:rsidRPr="00D54742" w:rsidRDefault="00A37CEF" w:rsidP="0003651D">
      <w:pPr>
        <w:pStyle w:val="Heading1"/>
        <w:jc w:val="both"/>
      </w:pPr>
      <w:r>
        <w:t>References</w:t>
      </w:r>
    </w:p>
    <w:p w14:paraId="53518240" w14:textId="1A6E21E2" w:rsidR="00A37CEF" w:rsidRDefault="00753211" w:rsidP="0003651D">
      <w:pPr>
        <w:pStyle w:val="References"/>
        <w:numPr>
          <w:ilvl w:val="0"/>
          <w:numId w:val="2"/>
        </w:numPr>
        <w:autoSpaceDE/>
        <w:autoSpaceDN/>
        <w:snapToGrid/>
        <w:spacing w:after="80" w:line="256" w:lineRule="auto"/>
        <w:rPr>
          <w:szCs w:val="20"/>
          <w:lang w:val="en-GB"/>
        </w:rPr>
      </w:pPr>
      <w:bookmarkStart w:id="4" w:name="_Ref47616084"/>
      <w:bookmarkStart w:id="5" w:name="_Ref32439522"/>
      <w:r w:rsidRPr="00753211">
        <w:rPr>
          <w:szCs w:val="20"/>
          <w:lang w:val="en-GB"/>
        </w:rPr>
        <w:t>RP-240789</w:t>
      </w:r>
      <w:r w:rsidR="00A37CEF" w:rsidRPr="005C32DA">
        <w:rPr>
          <w:szCs w:val="20"/>
          <w:lang w:val="en-GB"/>
        </w:rPr>
        <w:t xml:space="preserve"> </w:t>
      </w:r>
      <w:r w:rsidR="00A37CEF" w:rsidRPr="00785E35">
        <w:rPr>
          <w:szCs w:val="20"/>
          <w:lang w:val="en-GB"/>
        </w:rPr>
        <w:t>“</w:t>
      </w:r>
      <w:r w:rsidR="003B0C33">
        <w:rPr>
          <w:szCs w:val="20"/>
          <w:lang w:val="en-GB"/>
        </w:rPr>
        <w:t>Revised</w:t>
      </w:r>
      <w:r w:rsidR="00A37CEF" w:rsidRPr="005945B3">
        <w:rPr>
          <w:szCs w:val="20"/>
          <w:lang w:val="en-GB"/>
        </w:rPr>
        <w:t xml:space="preserve"> WID: Evolution of NR duplex operation: Sub-band full duplex (SBFD)</w:t>
      </w:r>
      <w:r w:rsidR="00A37CEF" w:rsidRPr="00785E35">
        <w:rPr>
          <w:szCs w:val="20"/>
          <w:lang w:val="en-GB"/>
        </w:rPr>
        <w:t xml:space="preserve">”, </w:t>
      </w:r>
      <w:r w:rsidR="00460441">
        <w:rPr>
          <w:szCs w:val="20"/>
          <w:lang w:val="en-GB"/>
        </w:rPr>
        <w:t xml:space="preserve">Huawei, </w:t>
      </w:r>
      <w:proofErr w:type="spellStart"/>
      <w:r w:rsidR="00042F87">
        <w:rPr>
          <w:szCs w:val="20"/>
          <w:lang w:val="en-GB"/>
        </w:rPr>
        <w:t>Hi</w:t>
      </w:r>
      <w:r w:rsidR="002E7C21">
        <w:rPr>
          <w:szCs w:val="20"/>
          <w:lang w:val="en-GB"/>
        </w:rPr>
        <w:t>Silicon</w:t>
      </w:r>
      <w:proofErr w:type="spellEnd"/>
      <w:r w:rsidR="00A37CEF" w:rsidRPr="00785E35">
        <w:rPr>
          <w:szCs w:val="20"/>
          <w:lang w:val="en-GB"/>
        </w:rPr>
        <w:t xml:space="preserve">, </w:t>
      </w:r>
      <w:r w:rsidR="00A37CEF" w:rsidRPr="003E1C6B">
        <w:rPr>
          <w:szCs w:val="20"/>
          <w:lang w:val="en-GB"/>
        </w:rPr>
        <w:t>3GPP TSG RAN#</w:t>
      </w:r>
      <w:r w:rsidR="00A37CEF">
        <w:rPr>
          <w:szCs w:val="20"/>
          <w:lang w:val="en-GB"/>
        </w:rPr>
        <w:t>10</w:t>
      </w:r>
      <w:r w:rsidR="0089771A">
        <w:rPr>
          <w:szCs w:val="20"/>
          <w:lang w:val="en-GB"/>
        </w:rPr>
        <w:t>3</w:t>
      </w:r>
      <w:r w:rsidR="00A37CEF" w:rsidRPr="00785E35">
        <w:rPr>
          <w:szCs w:val="20"/>
          <w:lang w:val="en-GB"/>
        </w:rPr>
        <w:t>.</w:t>
      </w:r>
      <w:bookmarkEnd w:id="4"/>
    </w:p>
    <w:p w14:paraId="59C1EE27" w14:textId="6F91B4A0" w:rsidR="0023172D" w:rsidRPr="00A95CA0" w:rsidRDefault="00A95CA0" w:rsidP="00A95CA0">
      <w:pPr>
        <w:spacing w:after="120"/>
        <w:ind w:left="1985" w:hanging="1985"/>
        <w:rPr>
          <w:rFonts w:ascii="Arial" w:eastAsiaTheme="minorEastAsia" w:hAnsi="Arial" w:cs="Arial"/>
          <w:color w:val="000000"/>
          <w:sz w:val="22"/>
          <w:lang w:eastAsia="zh-CN"/>
        </w:rPr>
      </w:pPr>
      <w:r>
        <w:rPr>
          <w:lang w:val="en-GB"/>
        </w:rPr>
        <w:t xml:space="preserve">[2]       </w:t>
      </w:r>
      <w:r w:rsidR="00903010" w:rsidRPr="00903010">
        <w:rPr>
          <w:lang w:val="en-GB"/>
        </w:rPr>
        <w:t>R4-2504751</w:t>
      </w:r>
      <w:r w:rsidR="0023172D" w:rsidRPr="00A37CEF">
        <w:rPr>
          <w:lang w:val="en-GB"/>
        </w:rPr>
        <w:t>, “</w:t>
      </w:r>
      <w:r w:rsidRPr="00A95CA0">
        <w:rPr>
          <w:lang w:val="en-GB"/>
        </w:rPr>
        <w:t xml:space="preserve">Way Forward on UE-UE CLI problem statement and potential solutions </w:t>
      </w:r>
      <w:r w:rsidR="0023172D" w:rsidRPr="00A37CEF">
        <w:rPr>
          <w:lang w:val="en-GB"/>
        </w:rPr>
        <w:t xml:space="preserve">”, </w:t>
      </w:r>
      <w:r w:rsidR="00E57003">
        <w:rPr>
          <w:lang w:val="en-GB"/>
        </w:rPr>
        <w:t>RAN4#11</w:t>
      </w:r>
      <w:r>
        <w:rPr>
          <w:lang w:val="en-GB"/>
        </w:rPr>
        <w:t>5</w:t>
      </w:r>
      <w:r w:rsidR="00E57003">
        <w:rPr>
          <w:lang w:val="en-GB"/>
        </w:rPr>
        <w:t>, Samsung</w:t>
      </w:r>
      <w:r w:rsidR="0023172D" w:rsidRPr="00A37CEF">
        <w:rPr>
          <w:lang w:val="en-GB"/>
        </w:rPr>
        <w:t xml:space="preserve">. </w:t>
      </w:r>
    </w:p>
    <w:bookmarkEnd w:id="5"/>
    <w:p w14:paraId="7547DE2D" w14:textId="77777777" w:rsidR="00A37CEF" w:rsidRDefault="00A37CEF" w:rsidP="0003651D">
      <w:pPr>
        <w:jc w:val="both"/>
      </w:pPr>
    </w:p>
    <w:sectPr w:rsidR="00A37CEF" w:rsidSect="00370B59">
      <w:headerReference w:type="even" r:id="rId22"/>
      <w:footerReference w:type="even" r:id="rId23"/>
      <w:footerReference w:type="default" r:id="rId2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3D662" w14:textId="77777777" w:rsidR="00475D96" w:rsidRDefault="00475D96">
      <w:pPr>
        <w:spacing w:after="0"/>
      </w:pPr>
      <w:r>
        <w:separator/>
      </w:r>
    </w:p>
  </w:endnote>
  <w:endnote w:type="continuationSeparator" w:id="0">
    <w:p w14:paraId="6B801CD9" w14:textId="77777777" w:rsidR="00475D96" w:rsidRDefault="00475D96">
      <w:pPr>
        <w:spacing w:after="0"/>
      </w:pPr>
      <w:r>
        <w:continuationSeparator/>
      </w:r>
    </w:p>
  </w:endnote>
  <w:endnote w:type="continuationNotice" w:id="1">
    <w:p w14:paraId="1A7DF021" w14:textId="77777777" w:rsidR="00475D96" w:rsidRDefault="00475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FAE85" w14:textId="77777777" w:rsidR="00475D96" w:rsidRDefault="00475D96">
      <w:pPr>
        <w:spacing w:after="0"/>
      </w:pPr>
      <w:r>
        <w:separator/>
      </w:r>
    </w:p>
  </w:footnote>
  <w:footnote w:type="continuationSeparator" w:id="0">
    <w:p w14:paraId="4AEC4911" w14:textId="77777777" w:rsidR="00475D96" w:rsidRDefault="00475D96">
      <w:pPr>
        <w:spacing w:after="0"/>
      </w:pPr>
      <w:r>
        <w:continuationSeparator/>
      </w:r>
    </w:p>
  </w:footnote>
  <w:footnote w:type="continuationNotice" w:id="1">
    <w:p w14:paraId="7810C925" w14:textId="77777777" w:rsidR="00475D96" w:rsidRDefault="00475D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5E5C99"/>
    <w:multiLevelType w:val="hybridMultilevel"/>
    <w:tmpl w:val="59E64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345A1C31"/>
    <w:multiLevelType w:val="hybridMultilevel"/>
    <w:tmpl w:val="9052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F766C8"/>
    <w:multiLevelType w:val="hybridMultilevel"/>
    <w:tmpl w:val="A024ED4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695A0A"/>
    <w:multiLevelType w:val="hybridMultilevel"/>
    <w:tmpl w:val="01580C22"/>
    <w:lvl w:ilvl="0" w:tplc="D660ACA2">
      <w:start w:val="1"/>
      <w:numFmt w:val="bullet"/>
      <w:lvlText w:val="•"/>
      <w:lvlJc w:val="left"/>
      <w:pPr>
        <w:tabs>
          <w:tab w:val="num" w:pos="720"/>
        </w:tabs>
        <w:ind w:left="720" w:hanging="360"/>
      </w:pPr>
      <w:rPr>
        <w:rFonts w:ascii="Arial" w:hAnsi="Arial" w:hint="default"/>
      </w:rPr>
    </w:lvl>
    <w:lvl w:ilvl="1" w:tplc="371C7926" w:tentative="1">
      <w:start w:val="1"/>
      <w:numFmt w:val="bullet"/>
      <w:lvlText w:val="•"/>
      <w:lvlJc w:val="left"/>
      <w:pPr>
        <w:tabs>
          <w:tab w:val="num" w:pos="1440"/>
        </w:tabs>
        <w:ind w:left="1440" w:hanging="360"/>
      </w:pPr>
      <w:rPr>
        <w:rFonts w:ascii="Arial" w:hAnsi="Arial" w:hint="default"/>
      </w:rPr>
    </w:lvl>
    <w:lvl w:ilvl="2" w:tplc="0B16C710">
      <w:start w:val="1"/>
      <w:numFmt w:val="bullet"/>
      <w:lvlText w:val="•"/>
      <w:lvlJc w:val="left"/>
      <w:pPr>
        <w:tabs>
          <w:tab w:val="num" w:pos="2160"/>
        </w:tabs>
        <w:ind w:left="2160" w:hanging="360"/>
      </w:pPr>
      <w:rPr>
        <w:rFonts w:ascii="Arial" w:hAnsi="Arial" w:hint="default"/>
      </w:rPr>
    </w:lvl>
    <w:lvl w:ilvl="3" w:tplc="2E4C924C" w:tentative="1">
      <w:start w:val="1"/>
      <w:numFmt w:val="bullet"/>
      <w:lvlText w:val="•"/>
      <w:lvlJc w:val="left"/>
      <w:pPr>
        <w:tabs>
          <w:tab w:val="num" w:pos="2880"/>
        </w:tabs>
        <w:ind w:left="2880" w:hanging="360"/>
      </w:pPr>
      <w:rPr>
        <w:rFonts w:ascii="Arial" w:hAnsi="Arial" w:hint="default"/>
      </w:rPr>
    </w:lvl>
    <w:lvl w:ilvl="4" w:tplc="D914742C" w:tentative="1">
      <w:start w:val="1"/>
      <w:numFmt w:val="bullet"/>
      <w:lvlText w:val="•"/>
      <w:lvlJc w:val="left"/>
      <w:pPr>
        <w:tabs>
          <w:tab w:val="num" w:pos="3600"/>
        </w:tabs>
        <w:ind w:left="3600" w:hanging="360"/>
      </w:pPr>
      <w:rPr>
        <w:rFonts w:ascii="Arial" w:hAnsi="Arial" w:hint="default"/>
      </w:rPr>
    </w:lvl>
    <w:lvl w:ilvl="5" w:tplc="28744F0E" w:tentative="1">
      <w:start w:val="1"/>
      <w:numFmt w:val="bullet"/>
      <w:lvlText w:val="•"/>
      <w:lvlJc w:val="left"/>
      <w:pPr>
        <w:tabs>
          <w:tab w:val="num" w:pos="4320"/>
        </w:tabs>
        <w:ind w:left="4320" w:hanging="360"/>
      </w:pPr>
      <w:rPr>
        <w:rFonts w:ascii="Arial" w:hAnsi="Arial" w:hint="default"/>
      </w:rPr>
    </w:lvl>
    <w:lvl w:ilvl="6" w:tplc="440870D4" w:tentative="1">
      <w:start w:val="1"/>
      <w:numFmt w:val="bullet"/>
      <w:lvlText w:val="•"/>
      <w:lvlJc w:val="left"/>
      <w:pPr>
        <w:tabs>
          <w:tab w:val="num" w:pos="5040"/>
        </w:tabs>
        <w:ind w:left="5040" w:hanging="360"/>
      </w:pPr>
      <w:rPr>
        <w:rFonts w:ascii="Arial" w:hAnsi="Arial" w:hint="default"/>
      </w:rPr>
    </w:lvl>
    <w:lvl w:ilvl="7" w:tplc="0DFCB740" w:tentative="1">
      <w:start w:val="1"/>
      <w:numFmt w:val="bullet"/>
      <w:lvlText w:val="•"/>
      <w:lvlJc w:val="left"/>
      <w:pPr>
        <w:tabs>
          <w:tab w:val="num" w:pos="5760"/>
        </w:tabs>
        <w:ind w:left="5760" w:hanging="360"/>
      </w:pPr>
      <w:rPr>
        <w:rFonts w:ascii="Arial" w:hAnsi="Arial" w:hint="default"/>
      </w:rPr>
    </w:lvl>
    <w:lvl w:ilvl="8" w:tplc="980694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0350C0"/>
    <w:multiLevelType w:val="hybridMultilevel"/>
    <w:tmpl w:val="16700B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F5332"/>
    <w:multiLevelType w:val="multilevel"/>
    <w:tmpl w:val="B3A45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B73482"/>
    <w:multiLevelType w:val="hybridMultilevel"/>
    <w:tmpl w:val="A184DEFE"/>
    <w:lvl w:ilvl="0" w:tplc="73E0C898">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1"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3"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988422">
    <w:abstractNumId w:val="11"/>
  </w:num>
  <w:num w:numId="2" w16cid:durableId="276178333">
    <w:abstractNumId w:val="0"/>
  </w:num>
  <w:num w:numId="3" w16cid:durableId="741606055">
    <w:abstractNumId w:val="2"/>
  </w:num>
  <w:num w:numId="4" w16cid:durableId="1935287387">
    <w:abstractNumId w:val="18"/>
  </w:num>
  <w:num w:numId="5" w16cid:durableId="1753619575">
    <w:abstractNumId w:val="25"/>
  </w:num>
  <w:num w:numId="6" w16cid:durableId="528227147">
    <w:abstractNumId w:val="6"/>
  </w:num>
  <w:num w:numId="7" w16cid:durableId="1151141409">
    <w:abstractNumId w:val="29"/>
  </w:num>
  <w:num w:numId="8" w16cid:durableId="1326208731">
    <w:abstractNumId w:val="24"/>
  </w:num>
  <w:num w:numId="9" w16cid:durableId="2096242991">
    <w:abstractNumId w:val="19"/>
  </w:num>
  <w:num w:numId="10" w16cid:durableId="964656557">
    <w:abstractNumId w:val="27"/>
  </w:num>
  <w:num w:numId="11" w16cid:durableId="724842134">
    <w:abstractNumId w:val="5"/>
  </w:num>
  <w:num w:numId="12" w16cid:durableId="1263489318">
    <w:abstractNumId w:val="36"/>
  </w:num>
  <w:num w:numId="13" w16cid:durableId="1656177574">
    <w:abstractNumId w:val="4"/>
  </w:num>
  <w:num w:numId="14" w16cid:durableId="1351568597">
    <w:abstractNumId w:val="1"/>
  </w:num>
  <w:num w:numId="15" w16cid:durableId="197086569">
    <w:abstractNumId w:val="8"/>
  </w:num>
  <w:num w:numId="16" w16cid:durableId="1700426356">
    <w:abstractNumId w:val="9"/>
  </w:num>
  <w:num w:numId="17" w16cid:durableId="517815193">
    <w:abstractNumId w:val="10"/>
  </w:num>
  <w:num w:numId="18" w16cid:durableId="1275752242">
    <w:abstractNumId w:val="22"/>
  </w:num>
  <w:num w:numId="19" w16cid:durableId="1417093260">
    <w:abstractNumId w:val="17"/>
  </w:num>
  <w:num w:numId="20" w16cid:durableId="925773427">
    <w:abstractNumId w:val="34"/>
  </w:num>
  <w:num w:numId="21" w16cid:durableId="306326423">
    <w:abstractNumId w:val="3"/>
  </w:num>
  <w:num w:numId="22" w16cid:durableId="1262372539">
    <w:abstractNumId w:val="16"/>
  </w:num>
  <w:num w:numId="23" w16cid:durableId="634524535">
    <w:abstractNumId w:val="14"/>
  </w:num>
  <w:num w:numId="24" w16cid:durableId="1509710620">
    <w:abstractNumId w:val="33"/>
  </w:num>
  <w:num w:numId="25" w16cid:durableId="475488186">
    <w:abstractNumId w:val="31"/>
  </w:num>
  <w:num w:numId="26" w16cid:durableId="577984225">
    <w:abstractNumId w:val="21"/>
  </w:num>
  <w:num w:numId="27" w16cid:durableId="236524678">
    <w:abstractNumId w:val="35"/>
  </w:num>
  <w:num w:numId="28" w16cid:durableId="1915163336">
    <w:abstractNumId w:val="12"/>
  </w:num>
  <w:num w:numId="29" w16cid:durableId="1180585837">
    <w:abstractNumId w:val="13"/>
  </w:num>
  <w:num w:numId="30" w16cid:durableId="130952112">
    <w:abstractNumId w:val="30"/>
  </w:num>
  <w:num w:numId="31" w16cid:durableId="758908027">
    <w:abstractNumId w:val="32"/>
  </w:num>
  <w:num w:numId="32" w16cid:durableId="757213207">
    <w:abstractNumId w:val="20"/>
  </w:num>
  <w:num w:numId="33" w16cid:durableId="2145389002">
    <w:abstractNumId w:val="15"/>
  </w:num>
  <w:num w:numId="34" w16cid:durableId="94711358">
    <w:abstractNumId w:val="28"/>
  </w:num>
  <w:num w:numId="35" w16cid:durableId="1236818623">
    <w:abstractNumId w:val="7"/>
  </w:num>
  <w:num w:numId="36" w16cid:durableId="285816170">
    <w:abstractNumId w:val="23"/>
  </w:num>
  <w:num w:numId="37" w16cid:durableId="163289896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147F"/>
    <w:rsid w:val="00002BE6"/>
    <w:rsid w:val="0000481E"/>
    <w:rsid w:val="00004ACF"/>
    <w:rsid w:val="0000650D"/>
    <w:rsid w:val="00011B8F"/>
    <w:rsid w:val="00013DF7"/>
    <w:rsid w:val="00016AA8"/>
    <w:rsid w:val="00023968"/>
    <w:rsid w:val="00025937"/>
    <w:rsid w:val="000272A6"/>
    <w:rsid w:val="00032AAD"/>
    <w:rsid w:val="00033F63"/>
    <w:rsid w:val="0003651D"/>
    <w:rsid w:val="00041A91"/>
    <w:rsid w:val="00042F87"/>
    <w:rsid w:val="000455BD"/>
    <w:rsid w:val="00047A99"/>
    <w:rsid w:val="00047C8F"/>
    <w:rsid w:val="0005018F"/>
    <w:rsid w:val="00052278"/>
    <w:rsid w:val="000522DE"/>
    <w:rsid w:val="00052C50"/>
    <w:rsid w:val="0005738D"/>
    <w:rsid w:val="00057DC7"/>
    <w:rsid w:val="00061B76"/>
    <w:rsid w:val="00063401"/>
    <w:rsid w:val="00067726"/>
    <w:rsid w:val="00067BB6"/>
    <w:rsid w:val="00071946"/>
    <w:rsid w:val="00072708"/>
    <w:rsid w:val="00072B9A"/>
    <w:rsid w:val="0007385C"/>
    <w:rsid w:val="00074FD2"/>
    <w:rsid w:val="00086C16"/>
    <w:rsid w:val="00087C1D"/>
    <w:rsid w:val="00090EE8"/>
    <w:rsid w:val="000917FF"/>
    <w:rsid w:val="00091C77"/>
    <w:rsid w:val="000974FB"/>
    <w:rsid w:val="00097DDE"/>
    <w:rsid w:val="000A09FE"/>
    <w:rsid w:val="000A3AD8"/>
    <w:rsid w:val="000A4E78"/>
    <w:rsid w:val="000A5AEF"/>
    <w:rsid w:val="000B386B"/>
    <w:rsid w:val="000B4BF6"/>
    <w:rsid w:val="000C25FE"/>
    <w:rsid w:val="000C506B"/>
    <w:rsid w:val="000C66D7"/>
    <w:rsid w:val="000E1A1B"/>
    <w:rsid w:val="000E462D"/>
    <w:rsid w:val="000F18FD"/>
    <w:rsid w:val="000F33BB"/>
    <w:rsid w:val="000F369C"/>
    <w:rsid w:val="000F5DD5"/>
    <w:rsid w:val="000F5E99"/>
    <w:rsid w:val="000F78E2"/>
    <w:rsid w:val="00100A17"/>
    <w:rsid w:val="00102A12"/>
    <w:rsid w:val="00103446"/>
    <w:rsid w:val="0010472D"/>
    <w:rsid w:val="00105C83"/>
    <w:rsid w:val="00110C08"/>
    <w:rsid w:val="00110C5B"/>
    <w:rsid w:val="00111952"/>
    <w:rsid w:val="00111F0D"/>
    <w:rsid w:val="0011441F"/>
    <w:rsid w:val="00115AAE"/>
    <w:rsid w:val="00116D5D"/>
    <w:rsid w:val="001218B6"/>
    <w:rsid w:val="001220CC"/>
    <w:rsid w:val="00125EDD"/>
    <w:rsid w:val="00127E3A"/>
    <w:rsid w:val="00127E88"/>
    <w:rsid w:val="001302C9"/>
    <w:rsid w:val="0013444E"/>
    <w:rsid w:val="001378DA"/>
    <w:rsid w:val="00142741"/>
    <w:rsid w:val="00144977"/>
    <w:rsid w:val="001466B9"/>
    <w:rsid w:val="00146ED2"/>
    <w:rsid w:val="0014783E"/>
    <w:rsid w:val="0015101E"/>
    <w:rsid w:val="0015173A"/>
    <w:rsid w:val="00151889"/>
    <w:rsid w:val="00152B25"/>
    <w:rsid w:val="001539CF"/>
    <w:rsid w:val="00154124"/>
    <w:rsid w:val="001570E2"/>
    <w:rsid w:val="00157595"/>
    <w:rsid w:val="001663D5"/>
    <w:rsid w:val="001728C6"/>
    <w:rsid w:val="0017324C"/>
    <w:rsid w:val="0017600B"/>
    <w:rsid w:val="00180F0A"/>
    <w:rsid w:val="00181A25"/>
    <w:rsid w:val="00184345"/>
    <w:rsid w:val="00186512"/>
    <w:rsid w:val="00186C55"/>
    <w:rsid w:val="00192514"/>
    <w:rsid w:val="001933DC"/>
    <w:rsid w:val="001A1DF3"/>
    <w:rsid w:val="001A20BE"/>
    <w:rsid w:val="001A2BFE"/>
    <w:rsid w:val="001A65BF"/>
    <w:rsid w:val="001A68D8"/>
    <w:rsid w:val="001A6D91"/>
    <w:rsid w:val="001B3DEB"/>
    <w:rsid w:val="001B6D24"/>
    <w:rsid w:val="001C0075"/>
    <w:rsid w:val="001C19F4"/>
    <w:rsid w:val="001C303C"/>
    <w:rsid w:val="001C397C"/>
    <w:rsid w:val="001C6E84"/>
    <w:rsid w:val="001C72F5"/>
    <w:rsid w:val="001C7DE2"/>
    <w:rsid w:val="001D269E"/>
    <w:rsid w:val="001D5472"/>
    <w:rsid w:val="001E1812"/>
    <w:rsid w:val="001E257C"/>
    <w:rsid w:val="001E3FA4"/>
    <w:rsid w:val="001E5E93"/>
    <w:rsid w:val="001E6DAC"/>
    <w:rsid w:val="001F204E"/>
    <w:rsid w:val="001F4057"/>
    <w:rsid w:val="001F48E2"/>
    <w:rsid w:val="001F4CBD"/>
    <w:rsid w:val="001F7C18"/>
    <w:rsid w:val="0020319C"/>
    <w:rsid w:val="0020337F"/>
    <w:rsid w:val="00205B4B"/>
    <w:rsid w:val="00212D6C"/>
    <w:rsid w:val="002131E1"/>
    <w:rsid w:val="00214068"/>
    <w:rsid w:val="00214E95"/>
    <w:rsid w:val="0022108A"/>
    <w:rsid w:val="00221CA0"/>
    <w:rsid w:val="00223D80"/>
    <w:rsid w:val="00226BAA"/>
    <w:rsid w:val="00227A45"/>
    <w:rsid w:val="0023172D"/>
    <w:rsid w:val="00233BC7"/>
    <w:rsid w:val="002415E8"/>
    <w:rsid w:val="0024301E"/>
    <w:rsid w:val="00246AB4"/>
    <w:rsid w:val="00246AE9"/>
    <w:rsid w:val="002470B7"/>
    <w:rsid w:val="00247A96"/>
    <w:rsid w:val="00250013"/>
    <w:rsid w:val="00253E95"/>
    <w:rsid w:val="002559EB"/>
    <w:rsid w:val="00256638"/>
    <w:rsid w:val="002638CA"/>
    <w:rsid w:val="00265C11"/>
    <w:rsid w:val="00266A29"/>
    <w:rsid w:val="00271968"/>
    <w:rsid w:val="002756FA"/>
    <w:rsid w:val="00275C28"/>
    <w:rsid w:val="002762D8"/>
    <w:rsid w:val="0028336C"/>
    <w:rsid w:val="00285987"/>
    <w:rsid w:val="00285C86"/>
    <w:rsid w:val="002904E7"/>
    <w:rsid w:val="00291ECE"/>
    <w:rsid w:val="00291F95"/>
    <w:rsid w:val="00292D47"/>
    <w:rsid w:val="002943F1"/>
    <w:rsid w:val="00296FB3"/>
    <w:rsid w:val="002A0877"/>
    <w:rsid w:val="002A0BDA"/>
    <w:rsid w:val="002A48E5"/>
    <w:rsid w:val="002B2D74"/>
    <w:rsid w:val="002B35EF"/>
    <w:rsid w:val="002B37C9"/>
    <w:rsid w:val="002B3FEE"/>
    <w:rsid w:val="002B40AF"/>
    <w:rsid w:val="002C2E2F"/>
    <w:rsid w:val="002C42DF"/>
    <w:rsid w:val="002C652F"/>
    <w:rsid w:val="002D2181"/>
    <w:rsid w:val="002D2D6B"/>
    <w:rsid w:val="002D317B"/>
    <w:rsid w:val="002D34F9"/>
    <w:rsid w:val="002D3E40"/>
    <w:rsid w:val="002D4DE6"/>
    <w:rsid w:val="002E379C"/>
    <w:rsid w:val="002E3C4F"/>
    <w:rsid w:val="002E583D"/>
    <w:rsid w:val="002E68AC"/>
    <w:rsid w:val="002E6A21"/>
    <w:rsid w:val="002E6BC8"/>
    <w:rsid w:val="002E7C21"/>
    <w:rsid w:val="002F00FB"/>
    <w:rsid w:val="002F15F4"/>
    <w:rsid w:val="002F17D9"/>
    <w:rsid w:val="002F1A51"/>
    <w:rsid w:val="002F3C21"/>
    <w:rsid w:val="002F5FB5"/>
    <w:rsid w:val="002F7A8D"/>
    <w:rsid w:val="003012C0"/>
    <w:rsid w:val="00301325"/>
    <w:rsid w:val="00301757"/>
    <w:rsid w:val="00302B97"/>
    <w:rsid w:val="00304602"/>
    <w:rsid w:val="0030660F"/>
    <w:rsid w:val="0031035D"/>
    <w:rsid w:val="00310611"/>
    <w:rsid w:val="00311D65"/>
    <w:rsid w:val="00311ED8"/>
    <w:rsid w:val="00312BE2"/>
    <w:rsid w:val="00312FF7"/>
    <w:rsid w:val="003149DA"/>
    <w:rsid w:val="00314DA1"/>
    <w:rsid w:val="0032021E"/>
    <w:rsid w:val="00320C60"/>
    <w:rsid w:val="00323010"/>
    <w:rsid w:val="00323D8C"/>
    <w:rsid w:val="00327D26"/>
    <w:rsid w:val="00331930"/>
    <w:rsid w:val="00341C42"/>
    <w:rsid w:val="003504CC"/>
    <w:rsid w:val="00355146"/>
    <w:rsid w:val="0035595A"/>
    <w:rsid w:val="00362A83"/>
    <w:rsid w:val="0036534D"/>
    <w:rsid w:val="003660D4"/>
    <w:rsid w:val="00370442"/>
    <w:rsid w:val="00370B59"/>
    <w:rsid w:val="00372120"/>
    <w:rsid w:val="00372ECA"/>
    <w:rsid w:val="0037513D"/>
    <w:rsid w:val="00375C5A"/>
    <w:rsid w:val="003766F4"/>
    <w:rsid w:val="00381BCC"/>
    <w:rsid w:val="003834D0"/>
    <w:rsid w:val="00387697"/>
    <w:rsid w:val="00387F7A"/>
    <w:rsid w:val="0039127D"/>
    <w:rsid w:val="0039168C"/>
    <w:rsid w:val="003A141C"/>
    <w:rsid w:val="003A3219"/>
    <w:rsid w:val="003A4916"/>
    <w:rsid w:val="003A66A2"/>
    <w:rsid w:val="003B0C33"/>
    <w:rsid w:val="003B1FFF"/>
    <w:rsid w:val="003B2015"/>
    <w:rsid w:val="003B2A99"/>
    <w:rsid w:val="003B330D"/>
    <w:rsid w:val="003B64E8"/>
    <w:rsid w:val="003C091A"/>
    <w:rsid w:val="003C1676"/>
    <w:rsid w:val="003C26B6"/>
    <w:rsid w:val="003C2BE0"/>
    <w:rsid w:val="003C5520"/>
    <w:rsid w:val="003C7439"/>
    <w:rsid w:val="003C76D2"/>
    <w:rsid w:val="003C7913"/>
    <w:rsid w:val="003D408A"/>
    <w:rsid w:val="003E0FB6"/>
    <w:rsid w:val="003E5A01"/>
    <w:rsid w:val="003F5C7C"/>
    <w:rsid w:val="00400180"/>
    <w:rsid w:val="004008A9"/>
    <w:rsid w:val="00400FA4"/>
    <w:rsid w:val="00401DF9"/>
    <w:rsid w:val="00404A37"/>
    <w:rsid w:val="00404CCF"/>
    <w:rsid w:val="004054C5"/>
    <w:rsid w:val="004068CA"/>
    <w:rsid w:val="00411C71"/>
    <w:rsid w:val="00413764"/>
    <w:rsid w:val="00416171"/>
    <w:rsid w:val="00417DD6"/>
    <w:rsid w:val="00421DE7"/>
    <w:rsid w:val="00421E71"/>
    <w:rsid w:val="00422733"/>
    <w:rsid w:val="00422C13"/>
    <w:rsid w:val="00423F65"/>
    <w:rsid w:val="00434EC0"/>
    <w:rsid w:val="00435B1D"/>
    <w:rsid w:val="0044129A"/>
    <w:rsid w:val="00442071"/>
    <w:rsid w:val="00447153"/>
    <w:rsid w:val="00453EC0"/>
    <w:rsid w:val="00454A16"/>
    <w:rsid w:val="00455A09"/>
    <w:rsid w:val="00455B95"/>
    <w:rsid w:val="00455F30"/>
    <w:rsid w:val="004563FB"/>
    <w:rsid w:val="00460441"/>
    <w:rsid w:val="00462DC4"/>
    <w:rsid w:val="00463908"/>
    <w:rsid w:val="00470751"/>
    <w:rsid w:val="004721B5"/>
    <w:rsid w:val="00472240"/>
    <w:rsid w:val="00474BBD"/>
    <w:rsid w:val="00474F06"/>
    <w:rsid w:val="00475D96"/>
    <w:rsid w:val="0048722C"/>
    <w:rsid w:val="004872C3"/>
    <w:rsid w:val="00490108"/>
    <w:rsid w:val="0049117F"/>
    <w:rsid w:val="00491258"/>
    <w:rsid w:val="004945D2"/>
    <w:rsid w:val="0049552F"/>
    <w:rsid w:val="004A0726"/>
    <w:rsid w:val="004A1E70"/>
    <w:rsid w:val="004A518A"/>
    <w:rsid w:val="004A56D0"/>
    <w:rsid w:val="004A7DAC"/>
    <w:rsid w:val="004B241C"/>
    <w:rsid w:val="004B454F"/>
    <w:rsid w:val="004C1401"/>
    <w:rsid w:val="004C227D"/>
    <w:rsid w:val="004C242A"/>
    <w:rsid w:val="004D0585"/>
    <w:rsid w:val="004D1A5F"/>
    <w:rsid w:val="004E340F"/>
    <w:rsid w:val="004F1F6B"/>
    <w:rsid w:val="004F55A5"/>
    <w:rsid w:val="004F6228"/>
    <w:rsid w:val="00500954"/>
    <w:rsid w:val="00507D20"/>
    <w:rsid w:val="005100A7"/>
    <w:rsid w:val="00511429"/>
    <w:rsid w:val="005119E5"/>
    <w:rsid w:val="00512600"/>
    <w:rsid w:val="00515BC5"/>
    <w:rsid w:val="00516597"/>
    <w:rsid w:val="00516D11"/>
    <w:rsid w:val="00516DAF"/>
    <w:rsid w:val="00523634"/>
    <w:rsid w:val="00524520"/>
    <w:rsid w:val="00524CBD"/>
    <w:rsid w:val="0052648A"/>
    <w:rsid w:val="005327C7"/>
    <w:rsid w:val="00533F6D"/>
    <w:rsid w:val="005348F9"/>
    <w:rsid w:val="0053720F"/>
    <w:rsid w:val="00540B8E"/>
    <w:rsid w:val="00543297"/>
    <w:rsid w:val="00543697"/>
    <w:rsid w:val="00543C13"/>
    <w:rsid w:val="0054624E"/>
    <w:rsid w:val="00552E52"/>
    <w:rsid w:val="00556880"/>
    <w:rsid w:val="00565BFF"/>
    <w:rsid w:val="005667F8"/>
    <w:rsid w:val="005722AD"/>
    <w:rsid w:val="0057516E"/>
    <w:rsid w:val="00581FC7"/>
    <w:rsid w:val="00582C3B"/>
    <w:rsid w:val="00586E75"/>
    <w:rsid w:val="00593642"/>
    <w:rsid w:val="00595627"/>
    <w:rsid w:val="005A5D37"/>
    <w:rsid w:val="005B0FE0"/>
    <w:rsid w:val="005B4F1E"/>
    <w:rsid w:val="005B7F80"/>
    <w:rsid w:val="005C3E6D"/>
    <w:rsid w:val="005C6CB9"/>
    <w:rsid w:val="005C7450"/>
    <w:rsid w:val="005D2BF4"/>
    <w:rsid w:val="005D4AF8"/>
    <w:rsid w:val="005D4C8A"/>
    <w:rsid w:val="005D66C2"/>
    <w:rsid w:val="005D6C35"/>
    <w:rsid w:val="005E5FC3"/>
    <w:rsid w:val="005E737D"/>
    <w:rsid w:val="005F015D"/>
    <w:rsid w:val="005F4555"/>
    <w:rsid w:val="005F730B"/>
    <w:rsid w:val="00610F8E"/>
    <w:rsid w:val="006134C5"/>
    <w:rsid w:val="00615BD9"/>
    <w:rsid w:val="00615DAF"/>
    <w:rsid w:val="006200C5"/>
    <w:rsid w:val="00621277"/>
    <w:rsid w:val="0062393D"/>
    <w:rsid w:val="00623BDE"/>
    <w:rsid w:val="00623F1B"/>
    <w:rsid w:val="00626159"/>
    <w:rsid w:val="00626502"/>
    <w:rsid w:val="00633543"/>
    <w:rsid w:val="00633FA6"/>
    <w:rsid w:val="00645B8E"/>
    <w:rsid w:val="0064631E"/>
    <w:rsid w:val="0065021C"/>
    <w:rsid w:val="00651D2E"/>
    <w:rsid w:val="00655EE9"/>
    <w:rsid w:val="00660865"/>
    <w:rsid w:val="00660A6C"/>
    <w:rsid w:val="0066144D"/>
    <w:rsid w:val="00662E4D"/>
    <w:rsid w:val="00664464"/>
    <w:rsid w:val="006654A7"/>
    <w:rsid w:val="00667B84"/>
    <w:rsid w:val="00670602"/>
    <w:rsid w:val="00671239"/>
    <w:rsid w:val="006714AB"/>
    <w:rsid w:val="006732F1"/>
    <w:rsid w:val="006736CA"/>
    <w:rsid w:val="006738CE"/>
    <w:rsid w:val="00673909"/>
    <w:rsid w:val="006740A1"/>
    <w:rsid w:val="00674B94"/>
    <w:rsid w:val="0067546A"/>
    <w:rsid w:val="006777D9"/>
    <w:rsid w:val="006806FC"/>
    <w:rsid w:val="006818F8"/>
    <w:rsid w:val="00684561"/>
    <w:rsid w:val="006847F6"/>
    <w:rsid w:val="006901CE"/>
    <w:rsid w:val="00690ED5"/>
    <w:rsid w:val="00692032"/>
    <w:rsid w:val="00692A1A"/>
    <w:rsid w:val="00692E50"/>
    <w:rsid w:val="00696785"/>
    <w:rsid w:val="006A7447"/>
    <w:rsid w:val="006A7EB7"/>
    <w:rsid w:val="006B0E0F"/>
    <w:rsid w:val="006B1288"/>
    <w:rsid w:val="006B22A3"/>
    <w:rsid w:val="006B2638"/>
    <w:rsid w:val="006B494E"/>
    <w:rsid w:val="006B5FF6"/>
    <w:rsid w:val="006B658F"/>
    <w:rsid w:val="006C4D1D"/>
    <w:rsid w:val="006C5153"/>
    <w:rsid w:val="006C6FAA"/>
    <w:rsid w:val="006D5601"/>
    <w:rsid w:val="006E01E2"/>
    <w:rsid w:val="006E0AE9"/>
    <w:rsid w:val="006E0E4A"/>
    <w:rsid w:val="006F4861"/>
    <w:rsid w:val="006F5742"/>
    <w:rsid w:val="006F7A87"/>
    <w:rsid w:val="0070011A"/>
    <w:rsid w:val="007018D8"/>
    <w:rsid w:val="00705014"/>
    <w:rsid w:val="0070632C"/>
    <w:rsid w:val="00711250"/>
    <w:rsid w:val="00712641"/>
    <w:rsid w:val="00716E87"/>
    <w:rsid w:val="00717CF8"/>
    <w:rsid w:val="00720B55"/>
    <w:rsid w:val="0072106E"/>
    <w:rsid w:val="00722632"/>
    <w:rsid w:val="00724EB3"/>
    <w:rsid w:val="00727130"/>
    <w:rsid w:val="00731254"/>
    <w:rsid w:val="00740A6B"/>
    <w:rsid w:val="00742660"/>
    <w:rsid w:val="007437C7"/>
    <w:rsid w:val="007454FE"/>
    <w:rsid w:val="007476AE"/>
    <w:rsid w:val="00747E01"/>
    <w:rsid w:val="007513E0"/>
    <w:rsid w:val="00752664"/>
    <w:rsid w:val="00752961"/>
    <w:rsid w:val="00753211"/>
    <w:rsid w:val="007535C5"/>
    <w:rsid w:val="0076055F"/>
    <w:rsid w:val="00760F3F"/>
    <w:rsid w:val="00762038"/>
    <w:rsid w:val="007621D1"/>
    <w:rsid w:val="007659DB"/>
    <w:rsid w:val="00767F62"/>
    <w:rsid w:val="00771053"/>
    <w:rsid w:val="00773780"/>
    <w:rsid w:val="00774AE7"/>
    <w:rsid w:val="007750C2"/>
    <w:rsid w:val="00775EC7"/>
    <w:rsid w:val="00777B8E"/>
    <w:rsid w:val="00781D09"/>
    <w:rsid w:val="00785DAC"/>
    <w:rsid w:val="00785F62"/>
    <w:rsid w:val="0079084A"/>
    <w:rsid w:val="00792C2C"/>
    <w:rsid w:val="00795A49"/>
    <w:rsid w:val="00795BE4"/>
    <w:rsid w:val="00795E08"/>
    <w:rsid w:val="0079774D"/>
    <w:rsid w:val="007A0E52"/>
    <w:rsid w:val="007A2E38"/>
    <w:rsid w:val="007A4AC3"/>
    <w:rsid w:val="007A7B1A"/>
    <w:rsid w:val="007B0C77"/>
    <w:rsid w:val="007B1D7E"/>
    <w:rsid w:val="007B3424"/>
    <w:rsid w:val="007B4160"/>
    <w:rsid w:val="007C3F07"/>
    <w:rsid w:val="007D34E9"/>
    <w:rsid w:val="007D4C04"/>
    <w:rsid w:val="007D5CA3"/>
    <w:rsid w:val="007D706C"/>
    <w:rsid w:val="007D78D4"/>
    <w:rsid w:val="007E1188"/>
    <w:rsid w:val="007E1ABB"/>
    <w:rsid w:val="007E2357"/>
    <w:rsid w:val="007E3189"/>
    <w:rsid w:val="007E49C0"/>
    <w:rsid w:val="007E62C1"/>
    <w:rsid w:val="007E782E"/>
    <w:rsid w:val="007F05E0"/>
    <w:rsid w:val="007F13E3"/>
    <w:rsid w:val="007F48C9"/>
    <w:rsid w:val="007F6BB3"/>
    <w:rsid w:val="007F7CBF"/>
    <w:rsid w:val="008002FF"/>
    <w:rsid w:val="00801478"/>
    <w:rsid w:val="00803799"/>
    <w:rsid w:val="00810226"/>
    <w:rsid w:val="00813472"/>
    <w:rsid w:val="008153CE"/>
    <w:rsid w:val="00816D3E"/>
    <w:rsid w:val="008201FE"/>
    <w:rsid w:val="00821175"/>
    <w:rsid w:val="0082235C"/>
    <w:rsid w:val="0082301F"/>
    <w:rsid w:val="008245FD"/>
    <w:rsid w:val="00825EA8"/>
    <w:rsid w:val="00825F5E"/>
    <w:rsid w:val="00832EC3"/>
    <w:rsid w:val="00834A85"/>
    <w:rsid w:val="00835114"/>
    <w:rsid w:val="0084089D"/>
    <w:rsid w:val="00842A28"/>
    <w:rsid w:val="00843C5B"/>
    <w:rsid w:val="00844A66"/>
    <w:rsid w:val="008453B7"/>
    <w:rsid w:val="00846D88"/>
    <w:rsid w:val="00853714"/>
    <w:rsid w:val="00857478"/>
    <w:rsid w:val="008579BB"/>
    <w:rsid w:val="00860B26"/>
    <w:rsid w:val="008626D8"/>
    <w:rsid w:val="00863B9B"/>
    <w:rsid w:val="00865FED"/>
    <w:rsid w:val="008707A4"/>
    <w:rsid w:val="00872D8E"/>
    <w:rsid w:val="00875E59"/>
    <w:rsid w:val="008760A9"/>
    <w:rsid w:val="0087700D"/>
    <w:rsid w:val="0087734B"/>
    <w:rsid w:val="00882243"/>
    <w:rsid w:val="008825B6"/>
    <w:rsid w:val="00882D16"/>
    <w:rsid w:val="008846AC"/>
    <w:rsid w:val="00890214"/>
    <w:rsid w:val="00890B68"/>
    <w:rsid w:val="00891F8B"/>
    <w:rsid w:val="0089420C"/>
    <w:rsid w:val="0089771A"/>
    <w:rsid w:val="008A2559"/>
    <w:rsid w:val="008A4435"/>
    <w:rsid w:val="008A685F"/>
    <w:rsid w:val="008A73FE"/>
    <w:rsid w:val="008A768C"/>
    <w:rsid w:val="008A7E2D"/>
    <w:rsid w:val="008B00FC"/>
    <w:rsid w:val="008B099F"/>
    <w:rsid w:val="008B298B"/>
    <w:rsid w:val="008B2997"/>
    <w:rsid w:val="008B3A7D"/>
    <w:rsid w:val="008B5BC2"/>
    <w:rsid w:val="008C01E0"/>
    <w:rsid w:val="008C0C02"/>
    <w:rsid w:val="008C521D"/>
    <w:rsid w:val="008C6147"/>
    <w:rsid w:val="008C7636"/>
    <w:rsid w:val="008C774C"/>
    <w:rsid w:val="008C7AB8"/>
    <w:rsid w:val="008C7DD3"/>
    <w:rsid w:val="008D17B6"/>
    <w:rsid w:val="008D1B32"/>
    <w:rsid w:val="008D6DE6"/>
    <w:rsid w:val="008E41B5"/>
    <w:rsid w:val="008F16D3"/>
    <w:rsid w:val="008F1778"/>
    <w:rsid w:val="009015C8"/>
    <w:rsid w:val="00902C84"/>
    <w:rsid w:val="00903010"/>
    <w:rsid w:val="00903C12"/>
    <w:rsid w:val="00904E4C"/>
    <w:rsid w:val="009055E8"/>
    <w:rsid w:val="009056A3"/>
    <w:rsid w:val="00906404"/>
    <w:rsid w:val="0090669B"/>
    <w:rsid w:val="009169F8"/>
    <w:rsid w:val="00921D0C"/>
    <w:rsid w:val="00925A3A"/>
    <w:rsid w:val="0093160D"/>
    <w:rsid w:val="0093198E"/>
    <w:rsid w:val="009329A2"/>
    <w:rsid w:val="009371C3"/>
    <w:rsid w:val="00940D56"/>
    <w:rsid w:val="009425F5"/>
    <w:rsid w:val="00943501"/>
    <w:rsid w:val="00943DBF"/>
    <w:rsid w:val="0094407C"/>
    <w:rsid w:val="00946833"/>
    <w:rsid w:val="00947E40"/>
    <w:rsid w:val="00951624"/>
    <w:rsid w:val="009534D5"/>
    <w:rsid w:val="0095531A"/>
    <w:rsid w:val="0095769B"/>
    <w:rsid w:val="00957D4A"/>
    <w:rsid w:val="00963F51"/>
    <w:rsid w:val="00965782"/>
    <w:rsid w:val="00966B2E"/>
    <w:rsid w:val="00970B89"/>
    <w:rsid w:val="0097247E"/>
    <w:rsid w:val="00975340"/>
    <w:rsid w:val="00975639"/>
    <w:rsid w:val="009759B4"/>
    <w:rsid w:val="00976AD4"/>
    <w:rsid w:val="00980E10"/>
    <w:rsid w:val="009813F5"/>
    <w:rsid w:val="009831BA"/>
    <w:rsid w:val="00984537"/>
    <w:rsid w:val="00990871"/>
    <w:rsid w:val="00992BB0"/>
    <w:rsid w:val="00992C1F"/>
    <w:rsid w:val="00995756"/>
    <w:rsid w:val="00995E8B"/>
    <w:rsid w:val="00996026"/>
    <w:rsid w:val="00996B95"/>
    <w:rsid w:val="009A03B9"/>
    <w:rsid w:val="009A0569"/>
    <w:rsid w:val="009A16BA"/>
    <w:rsid w:val="009A3DF6"/>
    <w:rsid w:val="009A5E28"/>
    <w:rsid w:val="009A5FD4"/>
    <w:rsid w:val="009A60A9"/>
    <w:rsid w:val="009A6E6F"/>
    <w:rsid w:val="009A7DD3"/>
    <w:rsid w:val="009B13F2"/>
    <w:rsid w:val="009B1EE7"/>
    <w:rsid w:val="009B66E4"/>
    <w:rsid w:val="009B6D4E"/>
    <w:rsid w:val="009B7A1D"/>
    <w:rsid w:val="009C07A6"/>
    <w:rsid w:val="009C17AC"/>
    <w:rsid w:val="009C3FB6"/>
    <w:rsid w:val="009C497B"/>
    <w:rsid w:val="009C5F28"/>
    <w:rsid w:val="009D1246"/>
    <w:rsid w:val="009D2F20"/>
    <w:rsid w:val="009D55AB"/>
    <w:rsid w:val="009D5DDF"/>
    <w:rsid w:val="009D72F2"/>
    <w:rsid w:val="009D73BB"/>
    <w:rsid w:val="009D7414"/>
    <w:rsid w:val="009E11C7"/>
    <w:rsid w:val="009E2E9D"/>
    <w:rsid w:val="009E3B70"/>
    <w:rsid w:val="009E5680"/>
    <w:rsid w:val="009E578A"/>
    <w:rsid w:val="009F08BD"/>
    <w:rsid w:val="009F0A94"/>
    <w:rsid w:val="009F0F3F"/>
    <w:rsid w:val="009F1412"/>
    <w:rsid w:val="009F48BF"/>
    <w:rsid w:val="009F61B4"/>
    <w:rsid w:val="00A01357"/>
    <w:rsid w:val="00A036A7"/>
    <w:rsid w:val="00A04D3D"/>
    <w:rsid w:val="00A071F0"/>
    <w:rsid w:val="00A13B1E"/>
    <w:rsid w:val="00A16404"/>
    <w:rsid w:val="00A1782B"/>
    <w:rsid w:val="00A2104E"/>
    <w:rsid w:val="00A22A4B"/>
    <w:rsid w:val="00A22CD2"/>
    <w:rsid w:val="00A242D4"/>
    <w:rsid w:val="00A25A5D"/>
    <w:rsid w:val="00A27763"/>
    <w:rsid w:val="00A30F78"/>
    <w:rsid w:val="00A333A3"/>
    <w:rsid w:val="00A35820"/>
    <w:rsid w:val="00A37CEF"/>
    <w:rsid w:val="00A41283"/>
    <w:rsid w:val="00A50F73"/>
    <w:rsid w:val="00A5423E"/>
    <w:rsid w:val="00A54727"/>
    <w:rsid w:val="00A5655B"/>
    <w:rsid w:val="00A61564"/>
    <w:rsid w:val="00A65A36"/>
    <w:rsid w:val="00A6754A"/>
    <w:rsid w:val="00A701A8"/>
    <w:rsid w:val="00A70AC5"/>
    <w:rsid w:val="00A7302A"/>
    <w:rsid w:val="00A74355"/>
    <w:rsid w:val="00A76626"/>
    <w:rsid w:val="00A7799D"/>
    <w:rsid w:val="00A82142"/>
    <w:rsid w:val="00A82DA9"/>
    <w:rsid w:val="00A91E13"/>
    <w:rsid w:val="00A94F5E"/>
    <w:rsid w:val="00A95CA0"/>
    <w:rsid w:val="00A96DB3"/>
    <w:rsid w:val="00A97C8B"/>
    <w:rsid w:val="00AA27C5"/>
    <w:rsid w:val="00AA3C04"/>
    <w:rsid w:val="00AA63D5"/>
    <w:rsid w:val="00AA6CCC"/>
    <w:rsid w:val="00AC08F0"/>
    <w:rsid w:val="00AC28AC"/>
    <w:rsid w:val="00AC7ACA"/>
    <w:rsid w:val="00AD00EB"/>
    <w:rsid w:val="00AD28B5"/>
    <w:rsid w:val="00AD334B"/>
    <w:rsid w:val="00AD535E"/>
    <w:rsid w:val="00AD546F"/>
    <w:rsid w:val="00AD55E4"/>
    <w:rsid w:val="00AE0E69"/>
    <w:rsid w:val="00AE25EC"/>
    <w:rsid w:val="00AE2FA5"/>
    <w:rsid w:val="00AE3BAA"/>
    <w:rsid w:val="00AE7F11"/>
    <w:rsid w:val="00AF207B"/>
    <w:rsid w:val="00AF2ADB"/>
    <w:rsid w:val="00AF3341"/>
    <w:rsid w:val="00AF4F84"/>
    <w:rsid w:val="00AF54AA"/>
    <w:rsid w:val="00AF5780"/>
    <w:rsid w:val="00AF6269"/>
    <w:rsid w:val="00B0062D"/>
    <w:rsid w:val="00B05DBE"/>
    <w:rsid w:val="00B074C7"/>
    <w:rsid w:val="00B12567"/>
    <w:rsid w:val="00B15440"/>
    <w:rsid w:val="00B17B56"/>
    <w:rsid w:val="00B22FF7"/>
    <w:rsid w:val="00B26B3B"/>
    <w:rsid w:val="00B30086"/>
    <w:rsid w:val="00B30BFD"/>
    <w:rsid w:val="00B31701"/>
    <w:rsid w:val="00B3318F"/>
    <w:rsid w:val="00B35350"/>
    <w:rsid w:val="00B41C5A"/>
    <w:rsid w:val="00B42B77"/>
    <w:rsid w:val="00B42E35"/>
    <w:rsid w:val="00B4571C"/>
    <w:rsid w:val="00B47F90"/>
    <w:rsid w:val="00B507EC"/>
    <w:rsid w:val="00B54521"/>
    <w:rsid w:val="00B557B0"/>
    <w:rsid w:val="00B5664B"/>
    <w:rsid w:val="00B56F16"/>
    <w:rsid w:val="00B62CB2"/>
    <w:rsid w:val="00B6421A"/>
    <w:rsid w:val="00B671A2"/>
    <w:rsid w:val="00B71BD6"/>
    <w:rsid w:val="00B721F8"/>
    <w:rsid w:val="00B737FE"/>
    <w:rsid w:val="00B77ABC"/>
    <w:rsid w:val="00B8218A"/>
    <w:rsid w:val="00B82C20"/>
    <w:rsid w:val="00B83A19"/>
    <w:rsid w:val="00B841B3"/>
    <w:rsid w:val="00B91542"/>
    <w:rsid w:val="00B91F76"/>
    <w:rsid w:val="00B93FE0"/>
    <w:rsid w:val="00B94D37"/>
    <w:rsid w:val="00B9598C"/>
    <w:rsid w:val="00B9607E"/>
    <w:rsid w:val="00B96335"/>
    <w:rsid w:val="00B96848"/>
    <w:rsid w:val="00B973B9"/>
    <w:rsid w:val="00BA47F6"/>
    <w:rsid w:val="00BA5C0F"/>
    <w:rsid w:val="00BB218D"/>
    <w:rsid w:val="00BC26B2"/>
    <w:rsid w:val="00BC2793"/>
    <w:rsid w:val="00BC2B4A"/>
    <w:rsid w:val="00BD16E3"/>
    <w:rsid w:val="00BD4F45"/>
    <w:rsid w:val="00BD66ED"/>
    <w:rsid w:val="00BD759D"/>
    <w:rsid w:val="00BE2448"/>
    <w:rsid w:val="00BE3FAC"/>
    <w:rsid w:val="00BF05C4"/>
    <w:rsid w:val="00BF0791"/>
    <w:rsid w:val="00C01F44"/>
    <w:rsid w:val="00C0387F"/>
    <w:rsid w:val="00C06131"/>
    <w:rsid w:val="00C12492"/>
    <w:rsid w:val="00C13350"/>
    <w:rsid w:val="00C1392C"/>
    <w:rsid w:val="00C13CB0"/>
    <w:rsid w:val="00C14AED"/>
    <w:rsid w:val="00C23D0A"/>
    <w:rsid w:val="00C274CF"/>
    <w:rsid w:val="00C36DCF"/>
    <w:rsid w:val="00C4118D"/>
    <w:rsid w:val="00C43F26"/>
    <w:rsid w:val="00C4547A"/>
    <w:rsid w:val="00C45841"/>
    <w:rsid w:val="00C476F7"/>
    <w:rsid w:val="00C528A8"/>
    <w:rsid w:val="00C565F2"/>
    <w:rsid w:val="00C60075"/>
    <w:rsid w:val="00C60611"/>
    <w:rsid w:val="00C6323A"/>
    <w:rsid w:val="00C65433"/>
    <w:rsid w:val="00C65FF4"/>
    <w:rsid w:val="00C71620"/>
    <w:rsid w:val="00C72CEE"/>
    <w:rsid w:val="00C73C7F"/>
    <w:rsid w:val="00C802F7"/>
    <w:rsid w:val="00C8235D"/>
    <w:rsid w:val="00C82626"/>
    <w:rsid w:val="00C85067"/>
    <w:rsid w:val="00C90C6C"/>
    <w:rsid w:val="00C95428"/>
    <w:rsid w:val="00CA17E3"/>
    <w:rsid w:val="00CA1EFB"/>
    <w:rsid w:val="00CA317D"/>
    <w:rsid w:val="00CA5FF3"/>
    <w:rsid w:val="00CA6E4F"/>
    <w:rsid w:val="00CB7892"/>
    <w:rsid w:val="00CC205D"/>
    <w:rsid w:val="00CC3573"/>
    <w:rsid w:val="00CC3ED4"/>
    <w:rsid w:val="00CC5B9A"/>
    <w:rsid w:val="00CC6801"/>
    <w:rsid w:val="00CC730B"/>
    <w:rsid w:val="00CD5FEF"/>
    <w:rsid w:val="00CE3303"/>
    <w:rsid w:val="00CE6268"/>
    <w:rsid w:val="00CE7110"/>
    <w:rsid w:val="00CE7266"/>
    <w:rsid w:val="00CE7726"/>
    <w:rsid w:val="00CF15B6"/>
    <w:rsid w:val="00CF325A"/>
    <w:rsid w:val="00CF3E04"/>
    <w:rsid w:val="00CF5DB8"/>
    <w:rsid w:val="00CF75D3"/>
    <w:rsid w:val="00CF79DE"/>
    <w:rsid w:val="00D02DBC"/>
    <w:rsid w:val="00D04EDC"/>
    <w:rsid w:val="00D10D18"/>
    <w:rsid w:val="00D11AD1"/>
    <w:rsid w:val="00D11BA4"/>
    <w:rsid w:val="00D12FD8"/>
    <w:rsid w:val="00D145BB"/>
    <w:rsid w:val="00D14F07"/>
    <w:rsid w:val="00D17DE3"/>
    <w:rsid w:val="00D203B6"/>
    <w:rsid w:val="00D2249C"/>
    <w:rsid w:val="00D25E76"/>
    <w:rsid w:val="00D271BC"/>
    <w:rsid w:val="00D316A1"/>
    <w:rsid w:val="00D33EF0"/>
    <w:rsid w:val="00D3736F"/>
    <w:rsid w:val="00D41192"/>
    <w:rsid w:val="00D4222E"/>
    <w:rsid w:val="00D43687"/>
    <w:rsid w:val="00D44995"/>
    <w:rsid w:val="00D45E08"/>
    <w:rsid w:val="00D47B19"/>
    <w:rsid w:val="00D5141A"/>
    <w:rsid w:val="00D521D8"/>
    <w:rsid w:val="00D55811"/>
    <w:rsid w:val="00D60509"/>
    <w:rsid w:val="00D6111E"/>
    <w:rsid w:val="00D64CA2"/>
    <w:rsid w:val="00D6507E"/>
    <w:rsid w:val="00D66E9A"/>
    <w:rsid w:val="00D66FE7"/>
    <w:rsid w:val="00D70732"/>
    <w:rsid w:val="00D73206"/>
    <w:rsid w:val="00D73A82"/>
    <w:rsid w:val="00D73B7B"/>
    <w:rsid w:val="00D74ABC"/>
    <w:rsid w:val="00D75D59"/>
    <w:rsid w:val="00D817BD"/>
    <w:rsid w:val="00D83111"/>
    <w:rsid w:val="00D84EC8"/>
    <w:rsid w:val="00D86A66"/>
    <w:rsid w:val="00D8732E"/>
    <w:rsid w:val="00D964E0"/>
    <w:rsid w:val="00D96F43"/>
    <w:rsid w:val="00D97587"/>
    <w:rsid w:val="00DA31C3"/>
    <w:rsid w:val="00DA330F"/>
    <w:rsid w:val="00DB2895"/>
    <w:rsid w:val="00DB2F65"/>
    <w:rsid w:val="00DB4966"/>
    <w:rsid w:val="00DB4A50"/>
    <w:rsid w:val="00DB4ACF"/>
    <w:rsid w:val="00DB55BC"/>
    <w:rsid w:val="00DC004D"/>
    <w:rsid w:val="00DC0818"/>
    <w:rsid w:val="00DC137D"/>
    <w:rsid w:val="00DC720A"/>
    <w:rsid w:val="00DE3962"/>
    <w:rsid w:val="00DE3FC7"/>
    <w:rsid w:val="00DF16F4"/>
    <w:rsid w:val="00E0010B"/>
    <w:rsid w:val="00E0089C"/>
    <w:rsid w:val="00E02445"/>
    <w:rsid w:val="00E0451E"/>
    <w:rsid w:val="00E16D18"/>
    <w:rsid w:val="00E1734B"/>
    <w:rsid w:val="00E20C4C"/>
    <w:rsid w:val="00E20DB0"/>
    <w:rsid w:val="00E210C6"/>
    <w:rsid w:val="00E242F2"/>
    <w:rsid w:val="00E24610"/>
    <w:rsid w:val="00E25ADE"/>
    <w:rsid w:val="00E27DB9"/>
    <w:rsid w:val="00E30303"/>
    <w:rsid w:val="00E307AE"/>
    <w:rsid w:val="00E30B13"/>
    <w:rsid w:val="00E324D7"/>
    <w:rsid w:val="00E334BE"/>
    <w:rsid w:val="00E343B7"/>
    <w:rsid w:val="00E3504A"/>
    <w:rsid w:val="00E40FD9"/>
    <w:rsid w:val="00E4434F"/>
    <w:rsid w:val="00E51887"/>
    <w:rsid w:val="00E5288D"/>
    <w:rsid w:val="00E54DFC"/>
    <w:rsid w:val="00E56F2C"/>
    <w:rsid w:val="00E57003"/>
    <w:rsid w:val="00E5796C"/>
    <w:rsid w:val="00E60BD3"/>
    <w:rsid w:val="00E664AC"/>
    <w:rsid w:val="00E66619"/>
    <w:rsid w:val="00E706C0"/>
    <w:rsid w:val="00E70FF1"/>
    <w:rsid w:val="00E72958"/>
    <w:rsid w:val="00E7489C"/>
    <w:rsid w:val="00E751F4"/>
    <w:rsid w:val="00E76E43"/>
    <w:rsid w:val="00E84940"/>
    <w:rsid w:val="00E8553E"/>
    <w:rsid w:val="00E908ED"/>
    <w:rsid w:val="00E912F8"/>
    <w:rsid w:val="00E9203B"/>
    <w:rsid w:val="00E9475D"/>
    <w:rsid w:val="00E97104"/>
    <w:rsid w:val="00E971FC"/>
    <w:rsid w:val="00EA1BB8"/>
    <w:rsid w:val="00EA3AA0"/>
    <w:rsid w:val="00EA3C4E"/>
    <w:rsid w:val="00EA57C6"/>
    <w:rsid w:val="00EA6813"/>
    <w:rsid w:val="00EA6C25"/>
    <w:rsid w:val="00EA6E15"/>
    <w:rsid w:val="00EB7153"/>
    <w:rsid w:val="00EB780D"/>
    <w:rsid w:val="00ED212D"/>
    <w:rsid w:val="00ED61C6"/>
    <w:rsid w:val="00ED6938"/>
    <w:rsid w:val="00ED6BE3"/>
    <w:rsid w:val="00ED7681"/>
    <w:rsid w:val="00EE146F"/>
    <w:rsid w:val="00EE2C77"/>
    <w:rsid w:val="00EE5474"/>
    <w:rsid w:val="00EE6398"/>
    <w:rsid w:val="00EE65B7"/>
    <w:rsid w:val="00EE6902"/>
    <w:rsid w:val="00EE792E"/>
    <w:rsid w:val="00EF442F"/>
    <w:rsid w:val="00EF49CD"/>
    <w:rsid w:val="00EF6489"/>
    <w:rsid w:val="00F0171B"/>
    <w:rsid w:val="00F0289F"/>
    <w:rsid w:val="00F0613B"/>
    <w:rsid w:val="00F10AFF"/>
    <w:rsid w:val="00F12745"/>
    <w:rsid w:val="00F147DC"/>
    <w:rsid w:val="00F15E15"/>
    <w:rsid w:val="00F165C8"/>
    <w:rsid w:val="00F1754E"/>
    <w:rsid w:val="00F218E6"/>
    <w:rsid w:val="00F220A3"/>
    <w:rsid w:val="00F2544A"/>
    <w:rsid w:val="00F31311"/>
    <w:rsid w:val="00F31B74"/>
    <w:rsid w:val="00F3474E"/>
    <w:rsid w:val="00F35632"/>
    <w:rsid w:val="00F36755"/>
    <w:rsid w:val="00F37C84"/>
    <w:rsid w:val="00F41331"/>
    <w:rsid w:val="00F425B6"/>
    <w:rsid w:val="00F44EF7"/>
    <w:rsid w:val="00F46982"/>
    <w:rsid w:val="00F5104A"/>
    <w:rsid w:val="00F5202F"/>
    <w:rsid w:val="00F53396"/>
    <w:rsid w:val="00F5410C"/>
    <w:rsid w:val="00F5459B"/>
    <w:rsid w:val="00F60CFC"/>
    <w:rsid w:val="00F62BC8"/>
    <w:rsid w:val="00F630AF"/>
    <w:rsid w:val="00F67C0C"/>
    <w:rsid w:val="00F701A6"/>
    <w:rsid w:val="00F71F3C"/>
    <w:rsid w:val="00F74497"/>
    <w:rsid w:val="00F752DC"/>
    <w:rsid w:val="00F7747C"/>
    <w:rsid w:val="00F77D71"/>
    <w:rsid w:val="00F80971"/>
    <w:rsid w:val="00F81059"/>
    <w:rsid w:val="00F8145A"/>
    <w:rsid w:val="00F83826"/>
    <w:rsid w:val="00F844D7"/>
    <w:rsid w:val="00F85F2B"/>
    <w:rsid w:val="00F9342B"/>
    <w:rsid w:val="00F965A9"/>
    <w:rsid w:val="00F97406"/>
    <w:rsid w:val="00FA0ED1"/>
    <w:rsid w:val="00FA1853"/>
    <w:rsid w:val="00FA21E5"/>
    <w:rsid w:val="00FA2618"/>
    <w:rsid w:val="00FA3338"/>
    <w:rsid w:val="00FB016E"/>
    <w:rsid w:val="00FB1AC8"/>
    <w:rsid w:val="00FB5DF7"/>
    <w:rsid w:val="00FB6173"/>
    <w:rsid w:val="00FC4036"/>
    <w:rsid w:val="00FC6786"/>
    <w:rsid w:val="00FC7347"/>
    <w:rsid w:val="00FD4ED9"/>
    <w:rsid w:val="00FD6A95"/>
    <w:rsid w:val="00FD76DF"/>
    <w:rsid w:val="00FE1885"/>
    <w:rsid w:val="00FE6607"/>
    <w:rsid w:val="00FF4BF5"/>
    <w:rsid w:val="00FF4E7E"/>
    <w:rsid w:val="00FF56DC"/>
    <w:rsid w:val="00FF6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592D8395-509E-4F6B-91B0-F7556466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uiPriority w:val="99"/>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网格型"/>
    <w:basedOn w:val="TableNormal"/>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qFormat/>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link w:val="CRCoverPageChar"/>
    <w:qFormat/>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 w:type="table" w:customStyle="1" w:styleId="TableGrid1">
    <w:name w:val="TableGrid1"/>
    <w:basedOn w:val="TableNormal"/>
    <w:next w:val="TableGrid"/>
    <w:qFormat/>
    <w:rsid w:val="0095769B"/>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74ABC"/>
    <w:rPr>
      <w:rFonts w:ascii="Arial" w:eastAsia="MS Mincho"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126849">
      <w:bodyDiv w:val="1"/>
      <w:marLeft w:val="0"/>
      <w:marRight w:val="0"/>
      <w:marTop w:val="0"/>
      <w:marBottom w:val="0"/>
      <w:divBdr>
        <w:top w:val="none" w:sz="0" w:space="0" w:color="auto"/>
        <w:left w:val="none" w:sz="0" w:space="0" w:color="auto"/>
        <w:bottom w:val="none" w:sz="0" w:space="0" w:color="auto"/>
        <w:right w:val="none" w:sz="0" w:space="0" w:color="auto"/>
      </w:divBdr>
      <w:divsChild>
        <w:div w:id="432172013">
          <w:marLeft w:val="0"/>
          <w:marRight w:val="0"/>
          <w:marTop w:val="0"/>
          <w:marBottom w:val="0"/>
          <w:divBdr>
            <w:top w:val="none" w:sz="0" w:space="0" w:color="auto"/>
            <w:left w:val="none" w:sz="0" w:space="0" w:color="auto"/>
            <w:bottom w:val="none" w:sz="0" w:space="0" w:color="auto"/>
            <w:right w:val="none" w:sz="0" w:space="0" w:color="auto"/>
          </w:divBdr>
        </w:div>
        <w:div w:id="450824750">
          <w:marLeft w:val="0"/>
          <w:marRight w:val="0"/>
          <w:marTop w:val="0"/>
          <w:marBottom w:val="0"/>
          <w:divBdr>
            <w:top w:val="none" w:sz="0" w:space="0" w:color="auto"/>
            <w:left w:val="none" w:sz="0" w:space="0" w:color="auto"/>
            <w:bottom w:val="none" w:sz="0" w:space="0" w:color="auto"/>
            <w:right w:val="none" w:sz="0" w:space="0" w:color="auto"/>
          </w:divBdr>
        </w:div>
      </w:divsChild>
    </w:div>
    <w:div w:id="686100498">
      <w:bodyDiv w:val="1"/>
      <w:marLeft w:val="0"/>
      <w:marRight w:val="0"/>
      <w:marTop w:val="0"/>
      <w:marBottom w:val="0"/>
      <w:divBdr>
        <w:top w:val="none" w:sz="0" w:space="0" w:color="auto"/>
        <w:left w:val="none" w:sz="0" w:space="0" w:color="auto"/>
        <w:bottom w:val="none" w:sz="0" w:space="0" w:color="auto"/>
        <w:right w:val="none" w:sz="0" w:space="0" w:color="auto"/>
      </w:divBdr>
      <w:divsChild>
        <w:div w:id="1642231837">
          <w:marLeft w:val="0"/>
          <w:marRight w:val="0"/>
          <w:marTop w:val="0"/>
          <w:marBottom w:val="0"/>
          <w:divBdr>
            <w:top w:val="none" w:sz="0" w:space="0" w:color="auto"/>
            <w:left w:val="none" w:sz="0" w:space="0" w:color="auto"/>
            <w:bottom w:val="none" w:sz="0" w:space="0" w:color="auto"/>
            <w:right w:val="none" w:sz="0" w:space="0" w:color="auto"/>
          </w:divBdr>
        </w:div>
        <w:div w:id="414403607">
          <w:marLeft w:val="0"/>
          <w:marRight w:val="0"/>
          <w:marTop w:val="0"/>
          <w:marBottom w:val="0"/>
          <w:divBdr>
            <w:top w:val="none" w:sz="0" w:space="0" w:color="auto"/>
            <w:left w:val="none" w:sz="0" w:space="0" w:color="auto"/>
            <w:bottom w:val="none" w:sz="0" w:space="0" w:color="auto"/>
            <w:right w:val="none" w:sz="0" w:space="0" w:color="auto"/>
          </w:divBdr>
        </w:div>
      </w:divsChild>
    </w:div>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 w:id="1961839435">
      <w:bodyDiv w:val="1"/>
      <w:marLeft w:val="0"/>
      <w:marRight w:val="0"/>
      <w:marTop w:val="0"/>
      <w:marBottom w:val="0"/>
      <w:divBdr>
        <w:top w:val="none" w:sz="0" w:space="0" w:color="auto"/>
        <w:left w:val="none" w:sz="0" w:space="0" w:color="auto"/>
        <w:bottom w:val="none" w:sz="0" w:space="0" w:color="auto"/>
        <w:right w:val="none" w:sz="0" w:space="0" w:color="auto"/>
      </w:divBdr>
      <w:divsChild>
        <w:div w:id="1414011956">
          <w:marLeft w:val="85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10.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195A2949-200B-41B8-A632-6B03008AE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15760-DC07-41CC-9862-E19C37EA0B61}">
  <ds:schemaRefs>
    <ds:schemaRef ds:uri="http://schemas.microsoft.com/sharepoint/v3/contenttype/forms"/>
  </ds:schemaRefs>
</ds:datastoreItem>
</file>

<file path=customXml/itemProps3.xml><?xml version="1.0" encoding="utf-8"?>
<ds:datastoreItem xmlns:ds="http://schemas.openxmlformats.org/officeDocument/2006/customXml" ds:itemID="{032CB6E1-9DE5-4D9C-AE68-744FA9743636}">
  <ds:schemaRefs>
    <ds:schemaRef ds:uri="http://purl.org/dc/dcmitype/"/>
    <ds:schemaRef ds:uri="1d122eec-3bb3-4fc2-82b5-17eb52940d3b"/>
    <ds:schemaRef ds:uri="http://purl.org/dc/terms/"/>
    <ds:schemaRef ds:uri="http://schemas.microsoft.com/office/2006/documentManagement/types"/>
    <ds:schemaRef ds:uri="http://www.w3.org/XML/1998/namespace"/>
    <ds:schemaRef ds:uri="http://schemas.microsoft.com/office/infopath/2007/PartnerControls"/>
    <ds:schemaRef ds:uri="e51413fb-b6f8-4f29-abc2-eb20455e809e"/>
    <ds:schemaRef ds:uri="http://schemas.openxmlformats.org/package/2006/metadata/core-properties"/>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3730</Words>
  <Characters>21261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2</cp:revision>
  <dcterms:created xsi:type="dcterms:W3CDTF">2025-08-15T13:17:00Z</dcterms:created>
  <dcterms:modified xsi:type="dcterms:W3CDTF">2025-08-15T13:17:00Z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ies>
</file>